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8A" w:rsidRPr="00444AE6" w:rsidRDefault="00843894" w:rsidP="0011113B">
      <w:pPr>
        <w:pStyle w:val="Ttulo1"/>
        <w:spacing w:before="120" w:line="240" w:lineRule="auto"/>
        <w:ind w:left="426" w:hanging="426"/>
        <w:rPr>
          <w:rFonts w:cs="Tahoma"/>
          <w:b w:val="0"/>
          <w:szCs w:val="20"/>
        </w:rPr>
      </w:pPr>
      <w:bookmarkStart w:id="0" w:name="_Toc352946302"/>
      <w:r w:rsidRPr="00444AE6">
        <w:rPr>
          <w:rFonts w:cs="Tahoma"/>
          <w:b w:val="0"/>
          <w:szCs w:val="20"/>
        </w:rPr>
        <w:t>OBJETIVO</w:t>
      </w:r>
      <w:bookmarkEnd w:id="0"/>
    </w:p>
    <w:p w:rsidR="007A7EEA" w:rsidRPr="00444AE6" w:rsidRDefault="007A7EEA" w:rsidP="0011113B">
      <w:pPr>
        <w:spacing w:before="120" w:after="0" w:line="240" w:lineRule="auto"/>
        <w:rPr>
          <w:rFonts w:cs="Tahoma"/>
          <w:szCs w:val="20"/>
        </w:rPr>
      </w:pPr>
      <w:r w:rsidRPr="00444AE6">
        <w:rPr>
          <w:rFonts w:cs="Tahoma"/>
          <w:szCs w:val="20"/>
        </w:rPr>
        <w:t>Establecer los pasos necesarios para elaboración de los certificados de registro de la deuda pública de las entidades que adquieran endeudamiento y reporte de información al Sistema Estadí</w:t>
      </w:r>
      <w:r w:rsidR="00DA2C7B" w:rsidRPr="00444AE6">
        <w:rPr>
          <w:rFonts w:cs="Tahoma"/>
          <w:szCs w:val="20"/>
        </w:rPr>
        <w:t xml:space="preserve">stico Unificado de Deuda </w:t>
      </w:r>
      <w:r w:rsidR="002E4EC4" w:rsidRPr="00444AE6">
        <w:rPr>
          <w:rFonts w:cs="Tahoma"/>
          <w:szCs w:val="20"/>
        </w:rPr>
        <w:t>“</w:t>
      </w:r>
      <w:r w:rsidR="00DA2C7B" w:rsidRPr="00444AE6">
        <w:rPr>
          <w:rFonts w:cs="Tahoma"/>
          <w:szCs w:val="20"/>
        </w:rPr>
        <w:t>SEUD</w:t>
      </w:r>
      <w:r w:rsidR="002E4EC4" w:rsidRPr="00444AE6">
        <w:rPr>
          <w:rFonts w:cs="Tahoma"/>
          <w:szCs w:val="20"/>
        </w:rPr>
        <w:t>”</w:t>
      </w:r>
      <w:r w:rsidRPr="00444AE6">
        <w:rPr>
          <w:rFonts w:cs="Tahoma"/>
          <w:szCs w:val="20"/>
        </w:rPr>
        <w:t>, solicitado por la Contraloría General de la República.</w:t>
      </w:r>
    </w:p>
    <w:p w:rsidR="00FC14E0" w:rsidRPr="00444AE6" w:rsidRDefault="00FC14E0" w:rsidP="0011113B">
      <w:pPr>
        <w:pStyle w:val="Ttulo1"/>
        <w:numPr>
          <w:ilvl w:val="0"/>
          <w:numId w:val="0"/>
        </w:numPr>
        <w:spacing w:before="120" w:line="240" w:lineRule="auto"/>
        <w:rPr>
          <w:rFonts w:cs="Tahoma"/>
          <w:b w:val="0"/>
          <w:szCs w:val="20"/>
        </w:rPr>
      </w:pPr>
    </w:p>
    <w:p w:rsidR="00FC14E0" w:rsidRPr="00444AE6" w:rsidRDefault="00843894" w:rsidP="0011113B">
      <w:pPr>
        <w:pStyle w:val="Ttulo1"/>
        <w:spacing w:before="120" w:line="240" w:lineRule="auto"/>
        <w:ind w:left="426" w:hanging="426"/>
        <w:rPr>
          <w:rFonts w:cs="Tahoma"/>
          <w:b w:val="0"/>
          <w:szCs w:val="20"/>
        </w:rPr>
      </w:pPr>
      <w:bookmarkStart w:id="1" w:name="_Toc352946303"/>
      <w:r w:rsidRPr="00444AE6">
        <w:rPr>
          <w:rFonts w:cs="Tahoma"/>
          <w:b w:val="0"/>
          <w:szCs w:val="20"/>
        </w:rPr>
        <w:t>ALCANCE</w:t>
      </w:r>
      <w:bookmarkEnd w:id="1"/>
      <w:r w:rsidR="00FC14E0" w:rsidRPr="00444AE6">
        <w:rPr>
          <w:rFonts w:cs="Tahoma"/>
          <w:b w:val="0"/>
          <w:szCs w:val="20"/>
        </w:rPr>
        <w:t xml:space="preserve"> </w:t>
      </w:r>
    </w:p>
    <w:p w:rsidR="008D488D" w:rsidRPr="00444AE6" w:rsidRDefault="002E4EC4" w:rsidP="0011113B">
      <w:pPr>
        <w:pStyle w:val="Encabezado"/>
        <w:tabs>
          <w:tab w:val="left" w:pos="1980"/>
        </w:tabs>
        <w:spacing w:before="120"/>
        <w:rPr>
          <w:rFonts w:cs="Tahoma"/>
          <w:szCs w:val="20"/>
        </w:rPr>
      </w:pPr>
      <w:r w:rsidRPr="00444AE6">
        <w:rPr>
          <w:rFonts w:cs="Tahoma"/>
          <w:szCs w:val="20"/>
        </w:rPr>
        <w:t>Este procedimiento aplica para los funcionarios asignados por el líder del proceso de Control Fiscal o la Alta Dirección.</w:t>
      </w:r>
    </w:p>
    <w:p w:rsidR="002E4EC4" w:rsidRPr="00444AE6" w:rsidRDefault="002E4EC4" w:rsidP="0011113B">
      <w:pPr>
        <w:pStyle w:val="Encabezado"/>
        <w:tabs>
          <w:tab w:val="left" w:pos="1980"/>
        </w:tabs>
        <w:spacing w:before="120"/>
        <w:rPr>
          <w:rFonts w:cs="Tahoma"/>
          <w:szCs w:val="20"/>
        </w:rPr>
      </w:pPr>
      <w:r w:rsidRPr="00444AE6">
        <w:rPr>
          <w:rFonts w:cs="Tahoma"/>
          <w:szCs w:val="20"/>
        </w:rPr>
        <w:t>Este procedimiento, incluye como primera parte la expedición del registro de la Deuda Pública, y partir de ello,  de manera mensual se consolida la información  que cargan las entidad a través del SICOF y se reporta a la  Contraloría General de la República</w:t>
      </w:r>
    </w:p>
    <w:p w:rsidR="002E4EC4" w:rsidRPr="00444AE6" w:rsidRDefault="002E4EC4" w:rsidP="0011113B">
      <w:pPr>
        <w:pStyle w:val="Encabezado"/>
        <w:tabs>
          <w:tab w:val="left" w:pos="1980"/>
        </w:tabs>
        <w:spacing w:before="120"/>
        <w:rPr>
          <w:rFonts w:cs="Tahoma"/>
          <w:szCs w:val="20"/>
        </w:rPr>
      </w:pPr>
    </w:p>
    <w:p w:rsidR="0011113B" w:rsidRPr="00444AE6" w:rsidRDefault="0011113B" w:rsidP="0011113B">
      <w:pPr>
        <w:pStyle w:val="Ttulo1"/>
        <w:spacing w:before="120" w:line="240" w:lineRule="auto"/>
        <w:ind w:left="426" w:hanging="426"/>
        <w:rPr>
          <w:rFonts w:cs="Tahoma"/>
          <w:b w:val="0"/>
          <w:szCs w:val="20"/>
        </w:rPr>
      </w:pPr>
      <w:bookmarkStart w:id="2" w:name="_Toc352946304"/>
      <w:r w:rsidRPr="00444AE6">
        <w:rPr>
          <w:rFonts w:cs="Tahoma"/>
          <w:b w:val="0"/>
          <w:szCs w:val="20"/>
        </w:rPr>
        <w:t>DESARROLLO</w:t>
      </w:r>
    </w:p>
    <w:p w:rsidR="0011113B" w:rsidRPr="00444AE6" w:rsidRDefault="0011113B" w:rsidP="0011113B">
      <w:pPr>
        <w:pStyle w:val="Ttulo1"/>
        <w:numPr>
          <w:ilvl w:val="1"/>
          <w:numId w:val="1"/>
        </w:numPr>
        <w:spacing w:before="120" w:line="240" w:lineRule="auto"/>
        <w:ind w:left="426" w:hanging="426"/>
        <w:rPr>
          <w:rFonts w:cs="Tahoma"/>
          <w:b w:val="0"/>
        </w:rPr>
      </w:pPr>
      <w:r w:rsidRPr="00444AE6">
        <w:rPr>
          <w:rFonts w:cs="Tahoma"/>
          <w:b w:val="0"/>
        </w:rPr>
        <w:t>Base Legal</w:t>
      </w:r>
    </w:p>
    <w:p w:rsidR="0011113B" w:rsidRPr="00444AE6" w:rsidRDefault="0011113B" w:rsidP="0011113B">
      <w:pPr>
        <w:spacing w:before="120" w:after="0" w:line="240" w:lineRule="auto"/>
        <w:rPr>
          <w:rFonts w:cs="Tahoma"/>
        </w:rPr>
      </w:pPr>
      <w:r w:rsidRPr="00444AE6">
        <w:rPr>
          <w:rFonts w:cs="Tahoma"/>
        </w:rPr>
        <w:t>Contenida en el Normograma de la entidad (ver RGJ-04) proceso Control Fiscal.</w:t>
      </w:r>
    </w:p>
    <w:p w:rsidR="0011113B" w:rsidRPr="00444AE6" w:rsidRDefault="0011113B" w:rsidP="0011113B">
      <w:pPr>
        <w:pStyle w:val="Ttulo1"/>
        <w:numPr>
          <w:ilvl w:val="1"/>
          <w:numId w:val="1"/>
        </w:numPr>
        <w:spacing w:before="120" w:line="240" w:lineRule="auto"/>
        <w:ind w:left="426" w:hanging="426"/>
        <w:rPr>
          <w:rFonts w:cs="Tahoma"/>
          <w:b w:val="0"/>
        </w:rPr>
      </w:pPr>
      <w:r w:rsidRPr="00444AE6">
        <w:rPr>
          <w:rFonts w:cs="Tahoma"/>
          <w:b w:val="0"/>
        </w:rPr>
        <w:t>Definiciones</w:t>
      </w:r>
    </w:p>
    <w:p w:rsidR="0011113B" w:rsidRPr="00444AE6" w:rsidRDefault="0011113B" w:rsidP="0011113B">
      <w:pPr>
        <w:spacing w:before="120" w:after="0" w:line="240" w:lineRule="auto"/>
      </w:pPr>
      <w:r w:rsidRPr="00444AE6">
        <w:t>Contenidas en la Resolución 254 de 2013 de la Contraloría Departamental del Tolima, que establece la rendición de la cuenta, artículo 15.</w:t>
      </w:r>
    </w:p>
    <w:p w:rsidR="00E8407D" w:rsidRPr="00444AE6" w:rsidRDefault="0011113B" w:rsidP="0011113B">
      <w:pPr>
        <w:pStyle w:val="Ttulo1"/>
        <w:numPr>
          <w:ilvl w:val="1"/>
          <w:numId w:val="1"/>
        </w:numPr>
        <w:spacing w:before="120" w:line="240" w:lineRule="auto"/>
        <w:ind w:left="426" w:hanging="426"/>
        <w:rPr>
          <w:rFonts w:cs="Tahoma"/>
          <w:b w:val="0"/>
          <w:szCs w:val="20"/>
        </w:rPr>
      </w:pPr>
      <w:r w:rsidRPr="00444AE6">
        <w:rPr>
          <w:rFonts w:cs="Tahoma"/>
          <w:b w:val="0"/>
          <w:szCs w:val="20"/>
        </w:rPr>
        <w:t>Generalidades</w:t>
      </w:r>
      <w:bookmarkEnd w:id="2"/>
    </w:p>
    <w:p w:rsidR="007C436A" w:rsidRPr="00444AE6" w:rsidRDefault="007C436A" w:rsidP="0011113B">
      <w:pPr>
        <w:spacing w:before="120" w:after="0" w:line="240" w:lineRule="auto"/>
        <w:rPr>
          <w:rFonts w:cs="Tahoma"/>
          <w:szCs w:val="20"/>
        </w:rPr>
      </w:pPr>
      <w:r w:rsidRPr="00444AE6">
        <w:rPr>
          <w:rFonts w:cs="Tahoma"/>
          <w:szCs w:val="20"/>
        </w:rPr>
        <w:t>La deuda pública surge a partir de las estimaciones de déficit que hacen l</w:t>
      </w:r>
      <w:r w:rsidR="001C054C" w:rsidRPr="00444AE6">
        <w:rPr>
          <w:rFonts w:cs="Tahoma"/>
          <w:szCs w:val="20"/>
        </w:rPr>
        <w:t xml:space="preserve">as administraciones </w:t>
      </w:r>
      <w:r w:rsidRPr="00444AE6">
        <w:rPr>
          <w:rFonts w:cs="Tahoma"/>
          <w:szCs w:val="20"/>
        </w:rPr>
        <w:t xml:space="preserve"> para cada año. El déficit se define como el monto de gastos que no se alcanza a financiar co</w:t>
      </w:r>
      <w:r w:rsidR="001C054C" w:rsidRPr="00444AE6">
        <w:rPr>
          <w:rFonts w:cs="Tahoma"/>
          <w:szCs w:val="20"/>
        </w:rPr>
        <w:t>n los ingresos corrientes de u</w:t>
      </w:r>
      <w:r w:rsidRPr="00444AE6">
        <w:rPr>
          <w:rFonts w:cs="Tahoma"/>
          <w:szCs w:val="20"/>
        </w:rPr>
        <w:t>n</w:t>
      </w:r>
      <w:r w:rsidR="001C054C" w:rsidRPr="00444AE6">
        <w:rPr>
          <w:rFonts w:cs="Tahoma"/>
          <w:szCs w:val="20"/>
        </w:rPr>
        <w:t xml:space="preserve"> municipio</w:t>
      </w:r>
      <w:r w:rsidRPr="00444AE6">
        <w:rPr>
          <w:rFonts w:cs="Tahoma"/>
          <w:szCs w:val="20"/>
        </w:rPr>
        <w:t>, para cubrir este desbalance se acude a recursos de crédito interno y crédito externo.</w:t>
      </w:r>
    </w:p>
    <w:p w:rsidR="001C054C" w:rsidRPr="00444AE6" w:rsidRDefault="007C436A" w:rsidP="0011113B">
      <w:pPr>
        <w:spacing w:before="120" w:after="0" w:line="240" w:lineRule="auto"/>
        <w:rPr>
          <w:rFonts w:cs="Tahoma"/>
          <w:szCs w:val="20"/>
        </w:rPr>
      </w:pPr>
      <w:r w:rsidRPr="00444AE6">
        <w:rPr>
          <w:rFonts w:cs="Tahoma"/>
          <w:szCs w:val="20"/>
        </w:rPr>
        <w:t>En</w:t>
      </w:r>
      <w:r w:rsidR="001C054C" w:rsidRPr="00444AE6">
        <w:rPr>
          <w:rFonts w:cs="Tahoma"/>
          <w:szCs w:val="20"/>
        </w:rPr>
        <w:t xml:space="preserve"> el Departamento del Tolima</w:t>
      </w:r>
      <w:r w:rsidRPr="00444AE6">
        <w:rPr>
          <w:rFonts w:cs="Tahoma"/>
          <w:szCs w:val="20"/>
        </w:rPr>
        <w:t xml:space="preserve"> el crédito interno se compone de</w:t>
      </w:r>
      <w:r w:rsidR="001C054C" w:rsidRPr="00444AE6">
        <w:rPr>
          <w:rFonts w:cs="Tahoma"/>
          <w:szCs w:val="20"/>
        </w:rPr>
        <w:t xml:space="preserve"> operaciones de crédito  público con un plazo mayor a un año, dentro de estas se encuentran comprendidas: el endeudamiento, la refinanciación, reestructuración y renegociación entre otras.</w:t>
      </w:r>
    </w:p>
    <w:p w:rsidR="001C054C" w:rsidRPr="00444AE6" w:rsidRDefault="001C054C" w:rsidP="0011113B">
      <w:pPr>
        <w:spacing w:before="120" w:after="0" w:line="240" w:lineRule="auto"/>
        <w:rPr>
          <w:rFonts w:cs="Tahoma"/>
          <w:szCs w:val="20"/>
        </w:rPr>
      </w:pPr>
      <w:r w:rsidRPr="00444AE6">
        <w:rPr>
          <w:rFonts w:cs="Tahoma"/>
          <w:szCs w:val="20"/>
        </w:rPr>
        <w:t>En este sentido, el endeudamiento del sector público debe dirigirse al financiamiento de actividades que sean prioritarias  desde el punto de vista técnico, económico y social, y que tengan un alto impacto en las metas del desarrollo sectorial y regional.</w:t>
      </w:r>
    </w:p>
    <w:p w:rsidR="0011113B" w:rsidRPr="00444AE6" w:rsidRDefault="0011113B" w:rsidP="0011113B">
      <w:pPr>
        <w:pStyle w:val="Ttulo1"/>
        <w:numPr>
          <w:ilvl w:val="0"/>
          <w:numId w:val="0"/>
        </w:numPr>
        <w:spacing w:before="120" w:line="240" w:lineRule="auto"/>
        <w:ind w:left="426"/>
        <w:rPr>
          <w:rFonts w:cs="Tahoma"/>
          <w:b w:val="0"/>
          <w:szCs w:val="20"/>
        </w:rPr>
      </w:pPr>
    </w:p>
    <w:p w:rsidR="00E8407D" w:rsidRPr="00444AE6" w:rsidRDefault="0011113B" w:rsidP="0011113B">
      <w:pPr>
        <w:pStyle w:val="Ttulo1"/>
        <w:spacing w:before="120" w:line="240" w:lineRule="auto"/>
        <w:ind w:left="426" w:hanging="426"/>
        <w:rPr>
          <w:rFonts w:cs="Tahoma"/>
          <w:b w:val="0"/>
          <w:szCs w:val="20"/>
        </w:rPr>
      </w:pPr>
      <w:r w:rsidRPr="00444AE6">
        <w:rPr>
          <w:rFonts w:cs="Tahoma"/>
          <w:b w:val="0"/>
          <w:szCs w:val="20"/>
        </w:rPr>
        <w:t>DESCRIPCIÓN DEL PROCEDIMIENTO</w:t>
      </w:r>
    </w:p>
    <w:p w:rsidR="007E3ADB" w:rsidRPr="00444AE6" w:rsidRDefault="007E3ADB" w:rsidP="0011113B">
      <w:pPr>
        <w:spacing w:before="120" w:after="0" w:line="240" w:lineRule="auto"/>
        <w:rPr>
          <w:rFonts w:cs="Tahoma"/>
          <w:szCs w:val="20"/>
        </w:rPr>
      </w:pPr>
      <w:r w:rsidRPr="00444AE6">
        <w:rPr>
          <w:rFonts w:cs="Tahoma"/>
          <w:szCs w:val="20"/>
        </w:rPr>
        <w:t xml:space="preserve">4.1. </w:t>
      </w:r>
      <w:r w:rsidR="0011113B" w:rsidRPr="00444AE6">
        <w:rPr>
          <w:rFonts w:cs="Tahoma"/>
          <w:szCs w:val="20"/>
        </w:rPr>
        <w:t>Elaboración Del Certificado De Registro De Deuda Pública</w:t>
      </w:r>
    </w:p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557"/>
        <w:gridCol w:w="5363"/>
        <w:gridCol w:w="1701"/>
        <w:gridCol w:w="1433"/>
      </w:tblGrid>
      <w:tr w:rsidR="00444AE6" w:rsidRPr="00444AE6" w:rsidTr="009053D5">
        <w:trPr>
          <w:tblHeader/>
        </w:trPr>
        <w:tc>
          <w:tcPr>
            <w:tcW w:w="557" w:type="dxa"/>
            <w:vAlign w:val="center"/>
          </w:tcPr>
          <w:p w:rsidR="00AE7FDC" w:rsidRPr="00444AE6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44AE6">
              <w:rPr>
                <w:rFonts w:cs="Tahoma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363" w:type="dxa"/>
            <w:vAlign w:val="center"/>
          </w:tcPr>
          <w:p w:rsidR="00AE7FDC" w:rsidRPr="00444AE6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44AE6">
              <w:rPr>
                <w:rFonts w:cs="Tahoma"/>
                <w:b/>
                <w:bCs/>
                <w:sz w:val="18"/>
                <w:szCs w:val="18"/>
              </w:rPr>
              <w:t>ACTIVIDAD</w:t>
            </w:r>
          </w:p>
        </w:tc>
        <w:tc>
          <w:tcPr>
            <w:tcW w:w="1701" w:type="dxa"/>
            <w:vAlign w:val="center"/>
          </w:tcPr>
          <w:p w:rsidR="00AE7FDC" w:rsidRPr="00444AE6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44AE6">
              <w:rPr>
                <w:rFonts w:cs="Tahoma"/>
                <w:b/>
                <w:bCs/>
                <w:sz w:val="18"/>
                <w:szCs w:val="18"/>
              </w:rPr>
              <w:t>RESPONSABLE</w:t>
            </w:r>
          </w:p>
        </w:tc>
        <w:tc>
          <w:tcPr>
            <w:tcW w:w="1433" w:type="dxa"/>
            <w:vAlign w:val="center"/>
          </w:tcPr>
          <w:p w:rsidR="00AE7FDC" w:rsidRPr="00444AE6" w:rsidRDefault="00AE7FDC" w:rsidP="0011113B">
            <w:pPr>
              <w:spacing w:before="12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44AE6">
              <w:rPr>
                <w:rFonts w:cs="Tahoma"/>
                <w:b/>
                <w:bCs/>
                <w:sz w:val="18"/>
                <w:szCs w:val="18"/>
              </w:rPr>
              <w:t>DOCUMENTO DE REFERENCIA</w:t>
            </w: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9053D5" w:rsidRPr="00444AE6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9053D5" w:rsidRPr="00444AE6" w:rsidRDefault="009053D5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Recibir la solicitud de  registro y operaciones de manejo  de la deuda pública  con la documentación que soporta la legalización de la obligación o reestructuración debidamente radicado en Ventanilla Única de Secretaría General de la Contraloría</w:t>
            </w:r>
          </w:p>
        </w:tc>
        <w:tc>
          <w:tcPr>
            <w:tcW w:w="1701" w:type="dxa"/>
            <w:vMerge w:val="restart"/>
            <w:vAlign w:val="center"/>
          </w:tcPr>
          <w:p w:rsidR="009053D5" w:rsidRPr="00444AE6" w:rsidRDefault="009053D5" w:rsidP="0011113B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Director de Control Fiscal y Medio Ambiente</w:t>
            </w:r>
          </w:p>
        </w:tc>
        <w:tc>
          <w:tcPr>
            <w:tcW w:w="1433" w:type="dxa"/>
            <w:vMerge w:val="restart"/>
            <w:vAlign w:val="center"/>
          </w:tcPr>
          <w:p w:rsidR="009053D5" w:rsidRPr="00444AE6" w:rsidRDefault="009053D5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Documentos del sujeto de control</w:t>
            </w: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9053D5" w:rsidRPr="00444AE6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9053D5" w:rsidRPr="00444AE6" w:rsidRDefault="009053D5" w:rsidP="009053D5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  <w:lang w:val="es-ES"/>
              </w:rPr>
              <w:t xml:space="preserve">Remitir </w:t>
            </w:r>
            <w:r w:rsidRPr="00444AE6">
              <w:rPr>
                <w:rFonts w:cs="Tahoma"/>
                <w:sz w:val="18"/>
                <w:szCs w:val="18"/>
              </w:rPr>
              <w:t>al  funcionario asignado para la evaluación, el seguimiento y registro según la solicitud de la entidad</w:t>
            </w:r>
          </w:p>
        </w:tc>
        <w:tc>
          <w:tcPr>
            <w:tcW w:w="1701" w:type="dxa"/>
            <w:vMerge/>
            <w:vAlign w:val="center"/>
          </w:tcPr>
          <w:p w:rsidR="009053D5" w:rsidRPr="00444AE6" w:rsidRDefault="009053D5" w:rsidP="009053D5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33" w:type="dxa"/>
            <w:vMerge/>
            <w:vAlign w:val="center"/>
          </w:tcPr>
          <w:p w:rsidR="009053D5" w:rsidRPr="00444AE6" w:rsidRDefault="009053D5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9053D5" w:rsidRPr="00444AE6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9053D5" w:rsidRPr="00444AE6" w:rsidRDefault="009053D5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 xml:space="preserve">Evaluar  y verificar la información reportada por el sujeto de control,  establecer si cumplen con lo normado y con los requisitos exigidos para expedición del Certificado de Registro de Deuda Publica  </w:t>
            </w:r>
          </w:p>
        </w:tc>
        <w:tc>
          <w:tcPr>
            <w:tcW w:w="1701" w:type="dxa"/>
            <w:vMerge w:val="restart"/>
            <w:vAlign w:val="center"/>
          </w:tcPr>
          <w:p w:rsidR="009053D5" w:rsidRPr="00444AE6" w:rsidRDefault="009053D5" w:rsidP="009053D5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Funcionario Asignado del proceso CF Asignado</w:t>
            </w:r>
          </w:p>
        </w:tc>
        <w:tc>
          <w:tcPr>
            <w:tcW w:w="1433" w:type="dxa"/>
            <w:vAlign w:val="center"/>
          </w:tcPr>
          <w:p w:rsidR="009053D5" w:rsidRPr="00444AE6" w:rsidRDefault="009053D5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Resolución de rendición de cuentas CDT</w:t>
            </w: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2E4EC4" w:rsidRPr="00444AE6" w:rsidRDefault="002E4EC4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2E4EC4" w:rsidRPr="00444AE6" w:rsidRDefault="002E4EC4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 xml:space="preserve">Elaborar el Certificado de Registro  y remitir al Director Técnico de Control Fiscal y Medio Ambiente para su revisión </w:t>
            </w:r>
          </w:p>
        </w:tc>
        <w:tc>
          <w:tcPr>
            <w:tcW w:w="1701" w:type="dxa"/>
            <w:vMerge/>
            <w:vAlign w:val="center"/>
          </w:tcPr>
          <w:p w:rsidR="002E4EC4" w:rsidRPr="00444AE6" w:rsidRDefault="002E4EC4" w:rsidP="0011113B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vAlign w:val="center"/>
          </w:tcPr>
          <w:p w:rsidR="002E4EC4" w:rsidRPr="00444AE6" w:rsidRDefault="002E4EC4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RCF-36</w:t>
            </w: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2E4EC4" w:rsidRPr="00444AE6" w:rsidRDefault="002E4EC4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2E4EC4" w:rsidRPr="00444AE6" w:rsidRDefault="002E4EC4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Elaborar el Certificado de Registro de refinanciación, reestructuración o renegociación de la deuda  y remitir al Director Técnico de Control Fiscal y Medio Ambiente para su revisión</w:t>
            </w:r>
          </w:p>
        </w:tc>
        <w:tc>
          <w:tcPr>
            <w:tcW w:w="1701" w:type="dxa"/>
            <w:vMerge/>
            <w:vAlign w:val="center"/>
          </w:tcPr>
          <w:p w:rsidR="002E4EC4" w:rsidRPr="00444AE6" w:rsidRDefault="002E4EC4" w:rsidP="0011113B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</w:p>
        </w:tc>
        <w:tc>
          <w:tcPr>
            <w:tcW w:w="1433" w:type="dxa"/>
            <w:vMerge/>
            <w:vAlign w:val="center"/>
          </w:tcPr>
          <w:p w:rsidR="002E4EC4" w:rsidRPr="00444AE6" w:rsidRDefault="002E4EC4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9053D5" w:rsidRPr="00444AE6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9053D5" w:rsidRPr="00444AE6" w:rsidRDefault="009053D5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Revisar y proponer ajustes al certificado en trámite , si es el caso</w:t>
            </w:r>
          </w:p>
        </w:tc>
        <w:tc>
          <w:tcPr>
            <w:tcW w:w="1701" w:type="dxa"/>
            <w:vAlign w:val="center"/>
          </w:tcPr>
          <w:p w:rsidR="009053D5" w:rsidRPr="00444AE6" w:rsidRDefault="002E4EC4" w:rsidP="0011113B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Director de Control Fiscal y Medio Ambiente</w:t>
            </w:r>
          </w:p>
        </w:tc>
        <w:tc>
          <w:tcPr>
            <w:tcW w:w="1433" w:type="dxa"/>
            <w:vAlign w:val="center"/>
          </w:tcPr>
          <w:p w:rsidR="009053D5" w:rsidRPr="00444AE6" w:rsidRDefault="002E4EC4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Documentos del sujeto de control</w:t>
            </w:r>
          </w:p>
          <w:p w:rsidR="002E4EC4" w:rsidRPr="00444AE6" w:rsidRDefault="002E4EC4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RCF-36</w:t>
            </w: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2E4EC4" w:rsidRPr="00444AE6" w:rsidRDefault="002E4EC4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2E4EC4" w:rsidRPr="00444AE6" w:rsidRDefault="002E4EC4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 xml:space="preserve">Efectuar las modificaciones y los ajustes sugeridas por el Director Técnico de Control Fiscal y Medio Ambiente </w:t>
            </w:r>
          </w:p>
        </w:tc>
        <w:tc>
          <w:tcPr>
            <w:tcW w:w="1701" w:type="dxa"/>
            <w:vMerge w:val="restart"/>
            <w:vAlign w:val="center"/>
          </w:tcPr>
          <w:p w:rsidR="002E4EC4" w:rsidRPr="00444AE6" w:rsidRDefault="002E4EC4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Funcionario Asignado del proceso CF Asignado</w:t>
            </w:r>
          </w:p>
        </w:tc>
        <w:tc>
          <w:tcPr>
            <w:tcW w:w="1433" w:type="dxa"/>
            <w:vAlign w:val="center"/>
          </w:tcPr>
          <w:p w:rsidR="002E4EC4" w:rsidRPr="00444AE6" w:rsidRDefault="002E4EC4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RCF-36</w:t>
            </w: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2E4EC4" w:rsidRPr="00444AE6" w:rsidRDefault="002E4EC4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2E4EC4" w:rsidRPr="00444AE6" w:rsidRDefault="002E4EC4" w:rsidP="002E4EC4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 xml:space="preserve">Remitir al Despacho del Contralor </w:t>
            </w:r>
          </w:p>
        </w:tc>
        <w:tc>
          <w:tcPr>
            <w:tcW w:w="1701" w:type="dxa"/>
            <w:vMerge/>
            <w:vAlign w:val="center"/>
          </w:tcPr>
          <w:p w:rsidR="002E4EC4" w:rsidRPr="00444AE6" w:rsidRDefault="002E4EC4" w:rsidP="0011113B">
            <w:pPr>
              <w:spacing w:before="120"/>
              <w:rPr>
                <w:rFonts w:cs="Tahoma"/>
                <w:sz w:val="18"/>
                <w:szCs w:val="18"/>
              </w:rPr>
            </w:pPr>
          </w:p>
        </w:tc>
        <w:tc>
          <w:tcPr>
            <w:tcW w:w="1433" w:type="dxa"/>
            <w:vMerge w:val="restart"/>
            <w:vAlign w:val="center"/>
          </w:tcPr>
          <w:p w:rsidR="002E4EC4" w:rsidRPr="00444AE6" w:rsidRDefault="002E4EC4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Documentos del sujeto de control</w:t>
            </w:r>
          </w:p>
          <w:p w:rsidR="002E4EC4" w:rsidRPr="00444AE6" w:rsidRDefault="002E4EC4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RCF-36</w:t>
            </w: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2E4EC4" w:rsidRPr="00444AE6" w:rsidRDefault="002E4EC4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2E4EC4" w:rsidRPr="00444AE6" w:rsidRDefault="002E4EC4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Revisar y proponer ajustes al certificado en trámite , si es el caso</w:t>
            </w:r>
          </w:p>
        </w:tc>
        <w:tc>
          <w:tcPr>
            <w:tcW w:w="1701" w:type="dxa"/>
            <w:vAlign w:val="center"/>
          </w:tcPr>
          <w:p w:rsidR="002E4EC4" w:rsidRPr="00444AE6" w:rsidRDefault="002E4EC4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Contralor(a)</w:t>
            </w:r>
          </w:p>
        </w:tc>
        <w:tc>
          <w:tcPr>
            <w:tcW w:w="1433" w:type="dxa"/>
            <w:vMerge/>
          </w:tcPr>
          <w:p w:rsidR="002E4EC4" w:rsidRPr="00444AE6" w:rsidRDefault="002E4EC4" w:rsidP="0011113B">
            <w:pPr>
              <w:spacing w:before="120"/>
              <w:rPr>
                <w:rFonts w:cs="Tahoma"/>
                <w:sz w:val="18"/>
                <w:szCs w:val="18"/>
              </w:rPr>
            </w:pP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9053D5" w:rsidRPr="00444AE6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9053D5" w:rsidRPr="00444AE6" w:rsidRDefault="009053D5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 xml:space="preserve">Remitir las copias del Certificado de Registro de Deuda Publica y el original a la entidad a través de ventanilla única  </w:t>
            </w:r>
          </w:p>
        </w:tc>
        <w:tc>
          <w:tcPr>
            <w:tcW w:w="1701" w:type="dxa"/>
            <w:vMerge w:val="restart"/>
            <w:vAlign w:val="center"/>
          </w:tcPr>
          <w:p w:rsidR="009053D5" w:rsidRPr="00444AE6" w:rsidRDefault="002E4EC4" w:rsidP="002E4EC4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 xml:space="preserve">Funcionario Asignado del proceso CF </w:t>
            </w:r>
            <w:r w:rsidR="009E0D33" w:rsidRPr="00444AE6">
              <w:rPr>
                <w:rFonts w:cs="Tahoma"/>
                <w:sz w:val="18"/>
                <w:szCs w:val="18"/>
              </w:rPr>
              <w:t xml:space="preserve"> </w:t>
            </w:r>
          </w:p>
        </w:tc>
        <w:tc>
          <w:tcPr>
            <w:tcW w:w="1433" w:type="dxa"/>
          </w:tcPr>
          <w:p w:rsidR="009053D5" w:rsidRPr="00444AE6" w:rsidRDefault="002E4EC4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RCF-36</w:t>
            </w:r>
          </w:p>
        </w:tc>
      </w:tr>
      <w:tr w:rsidR="00444AE6" w:rsidRPr="00444AE6" w:rsidTr="009053D5">
        <w:tc>
          <w:tcPr>
            <w:tcW w:w="557" w:type="dxa"/>
            <w:vAlign w:val="center"/>
          </w:tcPr>
          <w:p w:rsidR="009053D5" w:rsidRPr="00444AE6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9053D5" w:rsidRPr="00444AE6" w:rsidRDefault="009053D5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 xml:space="preserve">Archivar copia en medio magnético del certificado, para el consecutivo  y para remitir a la CGR de acuerdo con los artículos 33 y 34 de  la Resolución orgánica 001 de mayo 7 de 2014  expedida por este ente de control. </w:t>
            </w:r>
          </w:p>
        </w:tc>
        <w:tc>
          <w:tcPr>
            <w:tcW w:w="1701" w:type="dxa"/>
            <w:vMerge/>
            <w:vAlign w:val="center"/>
          </w:tcPr>
          <w:p w:rsidR="009053D5" w:rsidRPr="00444AE6" w:rsidRDefault="009053D5" w:rsidP="0011113B">
            <w:pPr>
              <w:spacing w:before="120"/>
              <w:rPr>
                <w:rFonts w:cs="Tahoma"/>
                <w:sz w:val="18"/>
                <w:szCs w:val="18"/>
              </w:rPr>
            </w:pPr>
          </w:p>
        </w:tc>
        <w:tc>
          <w:tcPr>
            <w:tcW w:w="1433" w:type="dxa"/>
          </w:tcPr>
          <w:p w:rsidR="002E4EC4" w:rsidRPr="00444AE6" w:rsidRDefault="002E4EC4" w:rsidP="002E4EC4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Documentos del sujeto de control</w:t>
            </w:r>
          </w:p>
          <w:p w:rsidR="009053D5" w:rsidRPr="00444AE6" w:rsidRDefault="002E4EC4" w:rsidP="009E0D33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RCF-36</w:t>
            </w:r>
          </w:p>
        </w:tc>
      </w:tr>
      <w:tr w:rsidR="009053D5" w:rsidRPr="00444AE6" w:rsidTr="009E0D33">
        <w:tc>
          <w:tcPr>
            <w:tcW w:w="557" w:type="dxa"/>
            <w:vAlign w:val="center"/>
          </w:tcPr>
          <w:p w:rsidR="009053D5" w:rsidRPr="00444AE6" w:rsidRDefault="009053D5" w:rsidP="0011113B">
            <w:pPr>
              <w:pStyle w:val="Prrafodelista"/>
              <w:numPr>
                <w:ilvl w:val="0"/>
                <w:numId w:val="29"/>
              </w:numPr>
              <w:spacing w:before="120"/>
              <w:ind w:left="284" w:hanging="284"/>
              <w:jc w:val="center"/>
              <w:rPr>
                <w:rFonts w:cs="Tahoma"/>
                <w:sz w:val="18"/>
                <w:szCs w:val="18"/>
                <w:lang w:eastAsia="es-CO"/>
              </w:rPr>
            </w:pPr>
          </w:p>
        </w:tc>
        <w:tc>
          <w:tcPr>
            <w:tcW w:w="5363" w:type="dxa"/>
            <w:vAlign w:val="center"/>
          </w:tcPr>
          <w:p w:rsidR="009053D5" w:rsidRPr="00444AE6" w:rsidRDefault="009053D5" w:rsidP="0011113B">
            <w:pPr>
              <w:spacing w:before="120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 xml:space="preserve">Remitir  a través de correo electrónico institucional </w:t>
            </w:r>
            <w:hyperlink r:id="rId9" w:history="1">
              <w:r w:rsidRPr="00444AE6">
                <w:rPr>
                  <w:rStyle w:val="Hipervnculo"/>
                  <w:rFonts w:cs="Tahoma"/>
                  <w:color w:val="auto"/>
                  <w:sz w:val="18"/>
                  <w:szCs w:val="18"/>
                </w:rPr>
                <w:t>deudapublica@contraloriatolima.gov.co</w:t>
              </w:r>
            </w:hyperlink>
            <w:r w:rsidRPr="00444AE6">
              <w:rPr>
                <w:rFonts w:cs="Tahoma"/>
                <w:sz w:val="18"/>
                <w:szCs w:val="18"/>
              </w:rPr>
              <w:t xml:space="preserve"> a la CGR de acuerdo con los artículos 33 y 34 de  la Resolución orgánica 001 de mayo 7 de 2014  expedida por este ente de control.</w:t>
            </w:r>
          </w:p>
        </w:tc>
        <w:tc>
          <w:tcPr>
            <w:tcW w:w="1701" w:type="dxa"/>
            <w:vMerge/>
            <w:vAlign w:val="center"/>
          </w:tcPr>
          <w:p w:rsidR="009053D5" w:rsidRPr="00444AE6" w:rsidRDefault="009053D5" w:rsidP="0011113B">
            <w:pPr>
              <w:spacing w:before="120"/>
              <w:rPr>
                <w:rFonts w:cs="Tahoma"/>
                <w:sz w:val="18"/>
                <w:szCs w:val="18"/>
              </w:rPr>
            </w:pPr>
          </w:p>
        </w:tc>
        <w:tc>
          <w:tcPr>
            <w:tcW w:w="1433" w:type="dxa"/>
            <w:vAlign w:val="center"/>
          </w:tcPr>
          <w:p w:rsidR="009053D5" w:rsidRPr="00444AE6" w:rsidRDefault="009E0D33" w:rsidP="009E0D33">
            <w:pPr>
              <w:spacing w:before="120"/>
              <w:jc w:val="center"/>
              <w:rPr>
                <w:rFonts w:cs="Tahoma"/>
                <w:sz w:val="18"/>
                <w:szCs w:val="18"/>
              </w:rPr>
            </w:pPr>
            <w:r w:rsidRPr="00444AE6">
              <w:rPr>
                <w:rFonts w:cs="Tahoma"/>
                <w:sz w:val="18"/>
                <w:szCs w:val="18"/>
              </w:rPr>
              <w:t>RCF-36</w:t>
            </w:r>
          </w:p>
        </w:tc>
      </w:tr>
    </w:tbl>
    <w:p w:rsidR="00AE7FDC" w:rsidRPr="00444AE6" w:rsidRDefault="00AE7FDC" w:rsidP="0011113B">
      <w:pPr>
        <w:spacing w:before="120" w:after="0" w:line="240" w:lineRule="auto"/>
        <w:rPr>
          <w:rFonts w:cs="Tahoma"/>
          <w:szCs w:val="20"/>
        </w:rPr>
      </w:pPr>
    </w:p>
    <w:p w:rsidR="009E0D33" w:rsidRPr="00444AE6" w:rsidRDefault="009E0D33" w:rsidP="0011113B">
      <w:pPr>
        <w:spacing w:before="120" w:after="0" w:line="240" w:lineRule="auto"/>
        <w:rPr>
          <w:rFonts w:cs="Tahoma"/>
          <w:szCs w:val="20"/>
        </w:rPr>
      </w:pPr>
    </w:p>
    <w:p w:rsidR="009E0D33" w:rsidRPr="00444AE6" w:rsidRDefault="009E0D33" w:rsidP="0011113B">
      <w:pPr>
        <w:spacing w:before="120" w:after="0" w:line="240" w:lineRule="auto"/>
        <w:rPr>
          <w:rFonts w:cs="Tahoma"/>
          <w:szCs w:val="20"/>
        </w:rPr>
      </w:pPr>
    </w:p>
    <w:p w:rsidR="009E0D33" w:rsidRPr="00444AE6" w:rsidRDefault="009E0D33" w:rsidP="0011113B">
      <w:pPr>
        <w:spacing w:before="120" w:after="0" w:line="240" w:lineRule="auto"/>
        <w:rPr>
          <w:rFonts w:cs="Tahoma"/>
          <w:szCs w:val="20"/>
        </w:rPr>
      </w:pPr>
    </w:p>
    <w:p w:rsidR="009E0D33" w:rsidRPr="00444AE6" w:rsidRDefault="009E0D33" w:rsidP="0011113B">
      <w:pPr>
        <w:spacing w:before="120" w:after="0" w:line="240" w:lineRule="auto"/>
        <w:rPr>
          <w:rFonts w:cs="Tahoma"/>
          <w:szCs w:val="20"/>
        </w:rPr>
      </w:pPr>
    </w:p>
    <w:p w:rsidR="009E0D33" w:rsidRPr="00444AE6" w:rsidRDefault="009E0D33" w:rsidP="0011113B">
      <w:pPr>
        <w:spacing w:before="120" w:after="0" w:line="240" w:lineRule="auto"/>
        <w:rPr>
          <w:rFonts w:cs="Tahoma"/>
          <w:szCs w:val="20"/>
        </w:rPr>
      </w:pPr>
    </w:p>
    <w:p w:rsidR="009E0D33" w:rsidRPr="00444AE6" w:rsidRDefault="009E0D33" w:rsidP="0011113B">
      <w:pPr>
        <w:spacing w:before="120" w:after="0" w:line="240" w:lineRule="auto"/>
        <w:rPr>
          <w:rFonts w:cs="Tahoma"/>
          <w:szCs w:val="20"/>
        </w:rPr>
      </w:pPr>
    </w:p>
    <w:p w:rsidR="005A1227" w:rsidRPr="00444AE6" w:rsidRDefault="00AE7FDC" w:rsidP="0011113B">
      <w:pPr>
        <w:spacing w:before="120" w:after="0" w:line="240" w:lineRule="auto"/>
        <w:rPr>
          <w:rFonts w:cs="Tahoma"/>
          <w:szCs w:val="20"/>
        </w:rPr>
      </w:pPr>
      <w:r w:rsidRPr="00444AE6">
        <w:rPr>
          <w:rFonts w:cs="Tahoma"/>
          <w:szCs w:val="20"/>
        </w:rPr>
        <w:lastRenderedPageBreak/>
        <w:t>4</w:t>
      </w:r>
      <w:r w:rsidR="005A1227" w:rsidRPr="00444AE6">
        <w:rPr>
          <w:rFonts w:cs="Tahoma"/>
          <w:szCs w:val="20"/>
        </w:rPr>
        <w:t xml:space="preserve">.2 </w:t>
      </w:r>
      <w:r w:rsidR="009E0D33" w:rsidRPr="00444AE6">
        <w:rPr>
          <w:rFonts w:cs="Tahoma"/>
          <w:szCs w:val="20"/>
        </w:rPr>
        <w:t xml:space="preserve">Elaboración Del Reporte Del Sistema Estadístico Unificado De Deuda Pública </w:t>
      </w:r>
      <w:r w:rsidR="005A1227" w:rsidRPr="00444AE6">
        <w:rPr>
          <w:rFonts w:cs="Tahoma"/>
          <w:szCs w:val="20"/>
        </w:rPr>
        <w:t>(SEUD)</w:t>
      </w:r>
    </w:p>
    <w:tbl>
      <w:tblPr>
        <w:tblStyle w:val="Tablaconcuadrcula"/>
        <w:tblW w:w="8840" w:type="dxa"/>
        <w:tblLook w:val="04A0" w:firstRow="1" w:lastRow="0" w:firstColumn="1" w:lastColumn="0" w:noHBand="0" w:noVBand="1"/>
      </w:tblPr>
      <w:tblGrid>
        <w:gridCol w:w="659"/>
        <w:gridCol w:w="4816"/>
        <w:gridCol w:w="1689"/>
        <w:gridCol w:w="1676"/>
      </w:tblGrid>
      <w:tr w:rsidR="00444AE6" w:rsidRPr="00444AE6" w:rsidTr="009E0D33">
        <w:trPr>
          <w:tblHeader/>
        </w:trPr>
        <w:tc>
          <w:tcPr>
            <w:tcW w:w="659" w:type="dxa"/>
            <w:vAlign w:val="center"/>
          </w:tcPr>
          <w:p w:rsidR="00AE7FDC" w:rsidRPr="00444AE6" w:rsidRDefault="00AE7FDC" w:rsidP="0011113B">
            <w:pPr>
              <w:spacing w:before="120"/>
              <w:jc w:val="center"/>
              <w:rPr>
                <w:rFonts w:cs="Tahoma"/>
                <w:b/>
                <w:bCs/>
              </w:rPr>
            </w:pPr>
            <w:r w:rsidRPr="00444AE6">
              <w:rPr>
                <w:rFonts w:cs="Tahoma"/>
                <w:b/>
                <w:bCs/>
              </w:rPr>
              <w:t>No.</w:t>
            </w:r>
          </w:p>
        </w:tc>
        <w:tc>
          <w:tcPr>
            <w:tcW w:w="4816" w:type="dxa"/>
            <w:vAlign w:val="center"/>
          </w:tcPr>
          <w:p w:rsidR="00AE7FDC" w:rsidRPr="00444AE6" w:rsidRDefault="00AE7FDC" w:rsidP="0011113B">
            <w:pPr>
              <w:spacing w:before="120"/>
              <w:jc w:val="center"/>
              <w:rPr>
                <w:rFonts w:cs="Tahoma"/>
                <w:b/>
                <w:bCs/>
              </w:rPr>
            </w:pPr>
            <w:r w:rsidRPr="00444AE6">
              <w:rPr>
                <w:rFonts w:cs="Tahoma"/>
                <w:b/>
                <w:bCs/>
              </w:rPr>
              <w:t>ACTIVIDAD</w:t>
            </w:r>
          </w:p>
        </w:tc>
        <w:tc>
          <w:tcPr>
            <w:tcW w:w="1689" w:type="dxa"/>
            <w:vAlign w:val="center"/>
          </w:tcPr>
          <w:p w:rsidR="00AE7FDC" w:rsidRPr="00444AE6" w:rsidRDefault="00AE7FDC" w:rsidP="0011113B">
            <w:pPr>
              <w:spacing w:before="120"/>
              <w:jc w:val="center"/>
              <w:rPr>
                <w:rFonts w:cs="Tahoma"/>
                <w:b/>
                <w:bCs/>
              </w:rPr>
            </w:pPr>
            <w:r w:rsidRPr="00444AE6">
              <w:rPr>
                <w:rFonts w:cs="Tahoma"/>
                <w:b/>
                <w:bCs/>
              </w:rPr>
              <w:t>RESPONSABLE</w:t>
            </w:r>
          </w:p>
        </w:tc>
        <w:tc>
          <w:tcPr>
            <w:tcW w:w="1676" w:type="dxa"/>
            <w:vAlign w:val="center"/>
          </w:tcPr>
          <w:p w:rsidR="00AE7FDC" w:rsidRPr="00444AE6" w:rsidRDefault="00AE7FDC" w:rsidP="0011113B">
            <w:pPr>
              <w:spacing w:before="120"/>
              <w:jc w:val="center"/>
              <w:rPr>
                <w:rFonts w:cs="Tahoma"/>
                <w:b/>
                <w:bCs/>
              </w:rPr>
            </w:pPr>
            <w:r w:rsidRPr="00444AE6">
              <w:rPr>
                <w:rFonts w:cs="Tahoma"/>
                <w:b/>
                <w:bCs/>
              </w:rPr>
              <w:t>DOCUMENTO DE REFERENCIA</w:t>
            </w:r>
          </w:p>
        </w:tc>
      </w:tr>
      <w:tr w:rsidR="00444AE6" w:rsidRPr="00444AE6" w:rsidTr="009E0D33">
        <w:tc>
          <w:tcPr>
            <w:tcW w:w="659" w:type="dxa"/>
            <w:vAlign w:val="center"/>
          </w:tcPr>
          <w:p w:rsidR="009E0D33" w:rsidRPr="00444AE6" w:rsidRDefault="009E0D33" w:rsidP="009E0D33">
            <w:pPr>
              <w:pStyle w:val="Prrafodelista"/>
              <w:numPr>
                <w:ilvl w:val="0"/>
                <w:numId w:val="30"/>
              </w:numPr>
              <w:spacing w:before="120"/>
              <w:ind w:left="284" w:hanging="284"/>
              <w:jc w:val="center"/>
              <w:rPr>
                <w:rFonts w:cs="Tahoma"/>
                <w:szCs w:val="20"/>
                <w:lang w:eastAsia="es-CO"/>
              </w:rPr>
            </w:pPr>
          </w:p>
        </w:tc>
        <w:tc>
          <w:tcPr>
            <w:tcW w:w="4816" w:type="dxa"/>
            <w:vAlign w:val="center"/>
          </w:tcPr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  <w:r w:rsidRPr="00444AE6">
              <w:rPr>
                <w:rFonts w:cs="Tahoma"/>
              </w:rPr>
              <w:t>Listar  del sistema SICOF, la información de deuda publica reportada  por los sujetos de control  en el formato SEUD (Sistema Estadístico de Deuda)</w:t>
            </w:r>
          </w:p>
        </w:tc>
        <w:tc>
          <w:tcPr>
            <w:tcW w:w="1689" w:type="dxa"/>
            <w:vMerge w:val="restart"/>
            <w:vAlign w:val="center"/>
          </w:tcPr>
          <w:p w:rsidR="009E0D33" w:rsidRPr="00444AE6" w:rsidRDefault="009E0D33" w:rsidP="0011113B">
            <w:pPr>
              <w:spacing w:before="120"/>
              <w:jc w:val="center"/>
              <w:rPr>
                <w:rFonts w:cs="Tahoma"/>
              </w:rPr>
            </w:pPr>
            <w:r w:rsidRPr="00444AE6">
              <w:rPr>
                <w:rFonts w:cs="Tahoma"/>
                <w:sz w:val="18"/>
                <w:szCs w:val="18"/>
              </w:rPr>
              <w:t xml:space="preserve">Funcionario Asignado del proceso CF  </w:t>
            </w:r>
          </w:p>
        </w:tc>
        <w:tc>
          <w:tcPr>
            <w:tcW w:w="1676" w:type="dxa"/>
            <w:vAlign w:val="center"/>
          </w:tcPr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  <w:r w:rsidRPr="00444AE6">
              <w:rPr>
                <w:rFonts w:cs="Tahoma"/>
              </w:rPr>
              <w:t>Aplicativo SICOF formato SEUD</w:t>
            </w:r>
          </w:p>
        </w:tc>
      </w:tr>
      <w:tr w:rsidR="00444AE6" w:rsidRPr="00444AE6" w:rsidTr="009E0D33">
        <w:tc>
          <w:tcPr>
            <w:tcW w:w="659" w:type="dxa"/>
            <w:vAlign w:val="center"/>
          </w:tcPr>
          <w:p w:rsidR="009E0D33" w:rsidRPr="00444AE6" w:rsidRDefault="009E0D33" w:rsidP="009E0D33">
            <w:pPr>
              <w:pStyle w:val="Prrafodelista"/>
              <w:numPr>
                <w:ilvl w:val="0"/>
                <w:numId w:val="30"/>
              </w:numPr>
              <w:spacing w:before="120"/>
              <w:ind w:left="284" w:hanging="284"/>
              <w:jc w:val="center"/>
              <w:rPr>
                <w:rFonts w:cs="Tahoma"/>
                <w:szCs w:val="20"/>
                <w:lang w:eastAsia="es-CO"/>
              </w:rPr>
            </w:pPr>
          </w:p>
        </w:tc>
        <w:tc>
          <w:tcPr>
            <w:tcW w:w="4816" w:type="dxa"/>
            <w:vAlign w:val="center"/>
          </w:tcPr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  <w:r w:rsidRPr="00444AE6">
              <w:rPr>
                <w:rFonts w:cs="Tahoma"/>
              </w:rPr>
              <w:t>Verificar y cotejar  con los soportes los pagos realizados; abonos a capital, pago de intereses, prepagos y demás de acuerdo con los códigos establecidos en el manual del usuario</w:t>
            </w:r>
          </w:p>
        </w:tc>
        <w:tc>
          <w:tcPr>
            <w:tcW w:w="1689" w:type="dxa"/>
            <w:vMerge/>
            <w:vAlign w:val="center"/>
          </w:tcPr>
          <w:p w:rsidR="009E0D33" w:rsidRPr="00444AE6" w:rsidRDefault="009E0D33" w:rsidP="0011113B">
            <w:pPr>
              <w:spacing w:before="120"/>
              <w:jc w:val="center"/>
              <w:rPr>
                <w:rFonts w:cs="Tahoma"/>
              </w:rPr>
            </w:pPr>
          </w:p>
        </w:tc>
        <w:tc>
          <w:tcPr>
            <w:tcW w:w="1676" w:type="dxa"/>
            <w:vMerge w:val="restart"/>
            <w:vAlign w:val="center"/>
          </w:tcPr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  <w:r w:rsidRPr="00444AE6">
              <w:rPr>
                <w:rFonts w:cs="Tahoma"/>
              </w:rPr>
              <w:t>Aplicativo SICOF</w:t>
            </w:r>
          </w:p>
        </w:tc>
      </w:tr>
      <w:tr w:rsidR="00444AE6" w:rsidRPr="00444AE6" w:rsidTr="009E0D33">
        <w:tc>
          <w:tcPr>
            <w:tcW w:w="659" w:type="dxa"/>
            <w:vAlign w:val="center"/>
          </w:tcPr>
          <w:p w:rsidR="009E0D33" w:rsidRPr="00444AE6" w:rsidRDefault="009E0D33" w:rsidP="009E0D33">
            <w:pPr>
              <w:pStyle w:val="Prrafodelista"/>
              <w:numPr>
                <w:ilvl w:val="0"/>
                <w:numId w:val="30"/>
              </w:numPr>
              <w:spacing w:before="120"/>
              <w:ind w:left="284" w:hanging="284"/>
              <w:jc w:val="center"/>
              <w:rPr>
                <w:rFonts w:cs="Tahoma"/>
                <w:szCs w:val="20"/>
                <w:lang w:eastAsia="es-CO"/>
              </w:rPr>
            </w:pPr>
          </w:p>
        </w:tc>
        <w:tc>
          <w:tcPr>
            <w:tcW w:w="4816" w:type="dxa"/>
            <w:vAlign w:val="center"/>
          </w:tcPr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  <w:r w:rsidRPr="00444AE6">
              <w:rPr>
                <w:rFonts w:cs="Tahoma"/>
              </w:rPr>
              <w:t xml:space="preserve">Generar el reporte consolidado de SEUD  y  cuadros resumen  de todos los sujetos de control </w:t>
            </w:r>
          </w:p>
        </w:tc>
        <w:tc>
          <w:tcPr>
            <w:tcW w:w="1689" w:type="dxa"/>
            <w:vMerge/>
            <w:vAlign w:val="center"/>
          </w:tcPr>
          <w:p w:rsidR="009E0D33" w:rsidRPr="00444AE6" w:rsidRDefault="009E0D33" w:rsidP="0011113B">
            <w:pPr>
              <w:spacing w:before="120"/>
              <w:jc w:val="center"/>
              <w:rPr>
                <w:rFonts w:cs="Tahoma"/>
              </w:rPr>
            </w:pPr>
          </w:p>
        </w:tc>
        <w:tc>
          <w:tcPr>
            <w:tcW w:w="1676" w:type="dxa"/>
            <w:vMerge/>
            <w:vAlign w:val="center"/>
          </w:tcPr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</w:p>
        </w:tc>
      </w:tr>
      <w:tr w:rsidR="00444AE6" w:rsidRPr="00444AE6" w:rsidTr="009E0D33">
        <w:tc>
          <w:tcPr>
            <w:tcW w:w="659" w:type="dxa"/>
            <w:vAlign w:val="center"/>
          </w:tcPr>
          <w:p w:rsidR="009E0D33" w:rsidRPr="00444AE6" w:rsidRDefault="009E0D33" w:rsidP="009E0D33">
            <w:pPr>
              <w:pStyle w:val="Prrafodelista"/>
              <w:numPr>
                <w:ilvl w:val="0"/>
                <w:numId w:val="30"/>
              </w:numPr>
              <w:spacing w:before="120"/>
              <w:ind w:left="284" w:hanging="284"/>
              <w:jc w:val="center"/>
              <w:rPr>
                <w:rFonts w:cs="Tahoma"/>
                <w:szCs w:val="20"/>
                <w:lang w:eastAsia="es-CO"/>
              </w:rPr>
            </w:pPr>
          </w:p>
        </w:tc>
        <w:tc>
          <w:tcPr>
            <w:tcW w:w="4816" w:type="dxa"/>
            <w:vAlign w:val="center"/>
          </w:tcPr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  <w:r w:rsidRPr="00444AE6">
              <w:rPr>
                <w:rFonts w:cs="Tahoma"/>
              </w:rPr>
              <w:t xml:space="preserve">Elaborar una carpeta electrónica que contenga el formato SEUD de los municipios y entidades descentralizadas, cuadro resumen y remitirlo  a través de correo electrónico institucional </w:t>
            </w:r>
            <w:hyperlink r:id="rId10" w:history="1">
              <w:r w:rsidRPr="00444AE6">
                <w:rPr>
                  <w:rStyle w:val="Hipervnculo"/>
                  <w:rFonts w:cs="Tahoma"/>
                  <w:color w:val="auto"/>
                </w:rPr>
                <w:t>deudapublica@contraloriatolima.gov.co</w:t>
              </w:r>
            </w:hyperlink>
            <w:r w:rsidRPr="00444AE6">
              <w:rPr>
                <w:rFonts w:cs="Tahoma"/>
              </w:rPr>
              <w:t xml:space="preserve"> a la CGR de acuerdo con los artículos 33 y 34 de  la Resolución orgánica 001 de mayo 7 de 2014  expedida por este ente de control</w:t>
            </w:r>
          </w:p>
        </w:tc>
        <w:tc>
          <w:tcPr>
            <w:tcW w:w="1689" w:type="dxa"/>
            <w:vMerge/>
            <w:vAlign w:val="center"/>
          </w:tcPr>
          <w:p w:rsidR="009E0D33" w:rsidRPr="00444AE6" w:rsidRDefault="009E0D33" w:rsidP="0011113B">
            <w:pPr>
              <w:spacing w:before="120"/>
              <w:jc w:val="center"/>
              <w:rPr>
                <w:rFonts w:cs="Tahoma"/>
              </w:rPr>
            </w:pPr>
          </w:p>
        </w:tc>
        <w:tc>
          <w:tcPr>
            <w:tcW w:w="1676" w:type="dxa"/>
            <w:vAlign w:val="center"/>
          </w:tcPr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  <w:r w:rsidRPr="00444AE6">
              <w:rPr>
                <w:rFonts w:cs="Tahoma"/>
              </w:rPr>
              <w:t>Correo electrónico</w:t>
            </w:r>
          </w:p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  <w:r w:rsidRPr="00444AE6">
              <w:rPr>
                <w:rFonts w:cs="Tahoma"/>
              </w:rPr>
              <w:t>Soporte Digital</w:t>
            </w:r>
          </w:p>
        </w:tc>
      </w:tr>
      <w:tr w:rsidR="009E0D33" w:rsidRPr="00444AE6" w:rsidTr="009E0D33">
        <w:tc>
          <w:tcPr>
            <w:tcW w:w="659" w:type="dxa"/>
            <w:vAlign w:val="center"/>
          </w:tcPr>
          <w:p w:rsidR="009E0D33" w:rsidRPr="00444AE6" w:rsidRDefault="009E0D33" w:rsidP="009E0D33">
            <w:pPr>
              <w:pStyle w:val="Prrafodelista"/>
              <w:numPr>
                <w:ilvl w:val="0"/>
                <w:numId w:val="30"/>
              </w:numPr>
              <w:spacing w:before="120"/>
              <w:ind w:left="284" w:hanging="284"/>
              <w:jc w:val="center"/>
              <w:rPr>
                <w:rFonts w:cs="Tahoma"/>
                <w:szCs w:val="20"/>
                <w:lang w:eastAsia="es-CO"/>
              </w:rPr>
            </w:pPr>
          </w:p>
        </w:tc>
        <w:tc>
          <w:tcPr>
            <w:tcW w:w="4816" w:type="dxa"/>
            <w:vAlign w:val="center"/>
          </w:tcPr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  <w:r w:rsidRPr="00444AE6">
              <w:rPr>
                <w:rFonts w:cs="Tahoma"/>
              </w:rPr>
              <w:t xml:space="preserve">Archivar copia en medio magnético de los informes mensuales remitidos  a la CGR, para el consecutivo  </w:t>
            </w:r>
          </w:p>
        </w:tc>
        <w:tc>
          <w:tcPr>
            <w:tcW w:w="1689" w:type="dxa"/>
            <w:vMerge/>
            <w:vAlign w:val="center"/>
          </w:tcPr>
          <w:p w:rsidR="009E0D33" w:rsidRPr="00444AE6" w:rsidRDefault="009E0D33" w:rsidP="0011113B">
            <w:pPr>
              <w:spacing w:before="120"/>
              <w:jc w:val="center"/>
              <w:rPr>
                <w:rFonts w:cs="Tahoma"/>
              </w:rPr>
            </w:pPr>
          </w:p>
        </w:tc>
        <w:tc>
          <w:tcPr>
            <w:tcW w:w="1676" w:type="dxa"/>
            <w:vAlign w:val="center"/>
          </w:tcPr>
          <w:p w:rsidR="009E0D33" w:rsidRPr="00444AE6" w:rsidRDefault="009E0D33" w:rsidP="0011113B">
            <w:pPr>
              <w:spacing w:before="120"/>
              <w:rPr>
                <w:rFonts w:cs="Tahoma"/>
              </w:rPr>
            </w:pPr>
            <w:r w:rsidRPr="00444AE6">
              <w:rPr>
                <w:rFonts w:cs="Tahoma"/>
              </w:rPr>
              <w:t>Copia Digital</w:t>
            </w:r>
          </w:p>
        </w:tc>
      </w:tr>
    </w:tbl>
    <w:p w:rsidR="007E5005" w:rsidRPr="00444AE6" w:rsidRDefault="007E5005" w:rsidP="0011113B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Cs w:val="20"/>
        </w:rPr>
      </w:pPr>
    </w:p>
    <w:p w:rsidR="007E5005" w:rsidRPr="00444AE6" w:rsidRDefault="007E5005" w:rsidP="0011113B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Cs w:val="20"/>
        </w:rPr>
      </w:pPr>
    </w:p>
    <w:p w:rsidR="007E5005" w:rsidRPr="00444AE6" w:rsidRDefault="007E5005" w:rsidP="0011113B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Cs w:val="20"/>
        </w:rPr>
      </w:pPr>
    </w:p>
    <w:p w:rsidR="007E5005" w:rsidRPr="00444AE6" w:rsidRDefault="007E5005" w:rsidP="0011113B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Cs w:val="20"/>
        </w:rPr>
      </w:pPr>
    </w:p>
    <w:p w:rsidR="00866EDC" w:rsidRPr="00444AE6" w:rsidRDefault="00866EDC" w:rsidP="0011113B">
      <w:pPr>
        <w:tabs>
          <w:tab w:val="left" w:pos="284"/>
          <w:tab w:val="left" w:pos="426"/>
        </w:tabs>
        <w:spacing w:before="120" w:after="0" w:line="240" w:lineRule="auto"/>
        <w:rPr>
          <w:rFonts w:cs="Tahoma"/>
          <w:szCs w:val="20"/>
        </w:rPr>
      </w:pPr>
    </w:p>
    <w:p w:rsidR="00866EDC" w:rsidRPr="00444AE6" w:rsidRDefault="00866EDC" w:rsidP="0011113B">
      <w:pPr>
        <w:spacing w:before="120" w:after="0" w:line="240" w:lineRule="auto"/>
        <w:rPr>
          <w:rFonts w:cs="Tahoma"/>
          <w:szCs w:val="20"/>
        </w:rPr>
      </w:pPr>
    </w:p>
    <w:sectPr w:rsidR="00866EDC" w:rsidRPr="00444AE6" w:rsidSect="009002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701" w:right="1701" w:bottom="1701" w:left="1701" w:header="709" w:footer="7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1A9" w:rsidRDefault="00EA21A9" w:rsidP="00FC14E0">
      <w:pPr>
        <w:spacing w:after="0" w:line="240" w:lineRule="auto"/>
      </w:pPr>
      <w:r>
        <w:separator/>
      </w:r>
    </w:p>
  </w:endnote>
  <w:endnote w:type="continuationSeparator" w:id="0">
    <w:p w:rsidR="00EA21A9" w:rsidRDefault="00EA21A9" w:rsidP="00FC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AE6" w:rsidRDefault="00444AE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0E1" w:rsidRPr="008C0DFD" w:rsidRDefault="006060E1" w:rsidP="00EC6E32">
    <w:pPr>
      <w:pStyle w:val="Piedepgina"/>
      <w:rPr>
        <w:rFonts w:cs="Tahoma"/>
        <w:sz w:val="18"/>
        <w:szCs w:val="18"/>
        <w:lang w:val="es-MX"/>
      </w:rPr>
    </w:pPr>
    <w:r w:rsidRPr="008C0DF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CAE337" wp14:editId="787BA692">
              <wp:simplePos x="0" y="0"/>
              <wp:positionH relativeFrom="column">
                <wp:posOffset>4535170</wp:posOffset>
              </wp:positionH>
              <wp:positionV relativeFrom="paragraph">
                <wp:posOffset>43551</wp:posOffset>
              </wp:positionV>
              <wp:extent cx="922452" cy="215265"/>
              <wp:effectExtent l="0" t="0" r="11430" b="1333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2452" cy="215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060E1" w:rsidRPr="00EC6E32" w:rsidRDefault="00EA21A9">
                          <w:pPr>
                            <w:rPr>
                              <w:sz w:val="14"/>
                              <w:szCs w:val="14"/>
                            </w:rPr>
                          </w:pPr>
                          <w:sdt>
                            <w:sdtPr>
                              <w:rPr>
                                <w:sz w:val="14"/>
                                <w:szCs w:val="14"/>
                              </w:rPr>
                              <w:id w:val="860082579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6060E1" w:rsidRPr="00EC6E32">
                                <w:rPr>
                                  <w:sz w:val="14"/>
                                  <w:szCs w:val="14"/>
                                  <w:lang w:val="es-ES"/>
                                </w:rPr>
                                <w:t xml:space="preserve">Página </w: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instrText>PAGE</w:instrTex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 w:rsidR="00444AE6">
                                <w:rPr>
                                  <w:b/>
                                  <w:bCs/>
                                  <w:noProof/>
                                  <w:sz w:val="14"/>
                                  <w:szCs w:val="14"/>
                                </w:rPr>
                                <w:t>1</w: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  <w:r w:rsidR="006060E1" w:rsidRPr="00EC6E32">
                                <w:rPr>
                                  <w:sz w:val="14"/>
                                  <w:szCs w:val="14"/>
                                  <w:lang w:val="es-ES"/>
                                </w:rPr>
                                <w:t xml:space="preserve"> de </w: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instrText>NUMPAGES</w:instrTex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 w:rsidR="00444AE6">
                                <w:rPr>
                                  <w:b/>
                                  <w:bCs/>
                                  <w:noProof/>
                                  <w:sz w:val="14"/>
                                  <w:szCs w:val="14"/>
                                </w:rPr>
                                <w:t>3</w: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57.1pt;margin-top:3.45pt;width:72.65pt;height:1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4KvKAIAAEwEAAAOAAAAZHJzL2Uyb0RvYy54bWysVNuO0zAQfUfiHyy/07Sh2UvUdLV0KUJa&#10;LtLCB0xsp7FwPMF2myxfz9jplnJ7QeTB8njGx2fOzGR1M3aGHZTzGm3FF7M5Z8oKlNruKv750/bF&#10;FWc+gJVg0KqKPyrPb9bPn62GvlQ5tmikcoxArC+HvuJtCH2ZZV60qgM/w15ZcjboOghkul0mHQyE&#10;3pksn88vsgGd7B0K5T2d3k1Ovk74TaNE+NA0XgVmKk7cQlpdWuu4ZusVlDsHfavFkQb8A4sOtKVH&#10;T1B3EIDtnf4NqtPCoccmzAR2GTaNFirlQNks5r9k89BCr1IuJI7vTzL5/wcr3h8+OqZlxV/OLzmz&#10;0FGRNnuQDplULKgxIMujTEPvS4p+6Ck+jK9wpHKnlH1/j+KLZxY3LdidunUOh1aBJJqLeDM7uzrh&#10;+AhSD+9Q0muwD5iAxsZ1UUNShRE6levxVCLiwQQdXuf5ssg5E+TKF0V+UaQXoHy63Dsf3ijsWNxU&#10;3FEHJHA43PsQyUD5FBLf8mi03GpjkuF29cY4dgDqlm36jug/hRnLBmJS5MWU/18h5un7E0SnA7W9&#10;0V3Fr05BUEbVXluZmjKANtOeKBt7lDEqN2kYxno8lqVG+UiCOpzam8aRNi26b5wN1NoV91/34BRn&#10;5q2lolwvlss4C8lYFpc5Ge7cU597wAqCqnjgbNpuQpqfKJjFWypeo5OwscoTkyNXatmk93G84kyc&#10;2ynqx09g/R0AAP//AwBQSwMEFAAGAAgAAAAhAJDq5nPfAAAACAEAAA8AAABkcnMvZG93bnJldi54&#10;bWxMj8FOwzAQRO9I/IO1SFxQ67SkaRLiVAgJRG/QIri68TaJsNfBdtPw95gTHEczmnlTbSaj2YjO&#10;95YELOYJMKTGqp5aAW/7x1kOzAdJSmpLKOAbPWzqy4tKlsqe6RXHXWhZLCFfSgFdCEPJuW86NNLP&#10;7YAUvaN1RoYoXcuVk+dYbjRfJknGjewpLnRywIcOm8/dyQjI0+fxw29vX96b7KiLcLMen76cENdX&#10;0/0dsIBT+AvDL35EhzoyHeyJlGdawHqRLmNUQFYAi36+KlbADgLSJAdeV/z/gfoHAAD//wMAUEsB&#10;Ai0AFAAGAAgAAAAhALaDOJL+AAAA4QEAABMAAAAAAAAAAAAAAAAAAAAAAFtDb250ZW50X1R5cGVz&#10;XS54bWxQSwECLQAUAAYACAAAACEAOP0h/9YAAACUAQAACwAAAAAAAAAAAAAAAAAvAQAAX3JlbHMv&#10;LnJlbHNQSwECLQAUAAYACAAAACEA8ZOCrygCAABMBAAADgAAAAAAAAAAAAAAAAAuAgAAZHJzL2Uy&#10;b0RvYy54bWxQSwECLQAUAAYACAAAACEAkOrmc98AAAAIAQAADwAAAAAAAAAAAAAAAACCBAAAZHJz&#10;L2Rvd25yZXYueG1sUEsFBgAAAAAEAAQA8wAAAI4FAAAAAA==&#10;">
              <v:textbox>
                <w:txbxContent>
                  <w:p w:rsidR="006060E1" w:rsidRPr="00EC6E32" w:rsidRDefault="00EA21A9">
                    <w:pPr>
                      <w:rPr>
                        <w:sz w:val="14"/>
                        <w:szCs w:val="14"/>
                      </w:rPr>
                    </w:pPr>
                    <w:sdt>
                      <w:sdtPr>
                        <w:rPr>
                          <w:sz w:val="14"/>
                          <w:szCs w:val="14"/>
                        </w:rPr>
                        <w:id w:val="860082579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6060E1" w:rsidRPr="00EC6E32">
                          <w:rPr>
                            <w:sz w:val="14"/>
                            <w:szCs w:val="14"/>
                            <w:lang w:val="es-ES"/>
                          </w:rPr>
                          <w:t xml:space="preserve">Página </w: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begin"/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instrText>PAGE</w:instrTex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separate"/>
                        </w:r>
                        <w:r w:rsidR="00444AE6">
                          <w:rPr>
                            <w:b/>
                            <w:bCs/>
                            <w:noProof/>
                            <w:sz w:val="14"/>
                            <w:szCs w:val="14"/>
                          </w:rPr>
                          <w:t>1</w: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end"/>
                        </w:r>
                        <w:r w:rsidR="006060E1" w:rsidRPr="00EC6E32">
                          <w:rPr>
                            <w:sz w:val="14"/>
                            <w:szCs w:val="14"/>
                            <w:lang w:val="es-ES"/>
                          </w:rPr>
                          <w:t xml:space="preserve"> de </w: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begin"/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instrText>NUMPAGES</w:instrTex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separate"/>
                        </w:r>
                        <w:r w:rsidR="00444AE6">
                          <w:rPr>
                            <w:b/>
                            <w:bCs/>
                            <w:noProof/>
                            <w:sz w:val="14"/>
                            <w:szCs w:val="14"/>
                          </w:rPr>
                          <w:t>3</w: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 w:rsidR="008C0DFD" w:rsidRPr="008C0DFD">
      <w:rPr>
        <w:rFonts w:cs="Tahoma"/>
        <w:sz w:val="18"/>
        <w:szCs w:val="18"/>
        <w:lang w:val="es-MX"/>
      </w:rPr>
      <w:t xml:space="preserve">Aprobado </w:t>
    </w:r>
    <w:r w:rsidR="00444AE6">
      <w:rPr>
        <w:rFonts w:cs="Tahoma"/>
        <w:sz w:val="18"/>
        <w:szCs w:val="18"/>
        <w:lang w:val="es-MX"/>
      </w:rPr>
      <w:t>14</w:t>
    </w:r>
    <w:r w:rsidR="008C0DFD" w:rsidRPr="008C0DFD">
      <w:rPr>
        <w:rFonts w:cs="Tahoma"/>
        <w:sz w:val="18"/>
        <w:szCs w:val="18"/>
        <w:lang w:val="es-MX"/>
      </w:rPr>
      <w:t xml:space="preserve"> de </w:t>
    </w:r>
    <w:r w:rsidR="00444AE6">
      <w:rPr>
        <w:rFonts w:cs="Tahoma"/>
        <w:sz w:val="18"/>
        <w:szCs w:val="18"/>
        <w:lang w:val="es-MX"/>
      </w:rPr>
      <w:t xml:space="preserve">enero </w:t>
    </w:r>
    <w:r w:rsidR="008C0DFD" w:rsidRPr="008C0DFD">
      <w:rPr>
        <w:rFonts w:cs="Tahoma"/>
        <w:sz w:val="18"/>
        <w:szCs w:val="18"/>
        <w:lang w:val="es-MX"/>
      </w:rPr>
      <w:t>de 201</w:t>
    </w:r>
    <w:r w:rsidR="00444AE6">
      <w:rPr>
        <w:rFonts w:cs="Tahoma"/>
        <w:sz w:val="18"/>
        <w:szCs w:val="18"/>
        <w:lang w:val="es-MX"/>
      </w:rPr>
      <w:t>5</w:t>
    </w:r>
    <w:r w:rsidR="00144DBF">
      <w:rPr>
        <w:rFonts w:cs="Tahoma"/>
        <w:sz w:val="18"/>
        <w:szCs w:val="18"/>
        <w:lang w:val="es-MX"/>
      </w:rPr>
      <w:t xml:space="preserve"> </w:t>
    </w:r>
    <w:r w:rsidR="00444AE6">
      <w:rPr>
        <w:rFonts w:cs="Tahoma"/>
        <w:sz w:val="18"/>
        <w:szCs w:val="18"/>
        <w:lang w:val="es-MX"/>
      </w:rPr>
      <w:t xml:space="preserve"> </w:t>
    </w:r>
    <w:r w:rsidR="00144DBF" w:rsidRPr="00DD086C">
      <w:rPr>
        <w:rFonts w:cs="Tahoma"/>
        <w:b/>
        <w:color w:val="008000"/>
        <w:sz w:val="18"/>
        <w:szCs w:val="18"/>
        <w:lang w:val="es-MX"/>
      </w:rPr>
      <w:t>COPIA CONTROLADA</w:t>
    </w:r>
  </w:p>
  <w:p w:rsidR="006060E1" w:rsidRPr="00EC6E32" w:rsidRDefault="006060E1" w:rsidP="00EC6E32">
    <w:pPr>
      <w:pStyle w:val="Piedepgina"/>
      <w:rPr>
        <w:rFonts w:cs="Tahoma"/>
        <w:b/>
        <w:color w:val="008000"/>
        <w:sz w:val="18"/>
        <w:szCs w:val="18"/>
        <w:lang w:val="es-MX"/>
      </w:rPr>
    </w:pPr>
  </w:p>
  <w:p w:rsidR="006060E1" w:rsidRPr="00F46E07" w:rsidRDefault="006060E1" w:rsidP="00EC6E32">
    <w:pPr>
      <w:autoSpaceDE w:val="0"/>
      <w:autoSpaceDN w:val="0"/>
      <w:adjustRightInd w:val="0"/>
      <w:spacing w:after="0" w:line="240" w:lineRule="auto"/>
      <w:rPr>
        <w:rFonts w:cs="Tahoma"/>
        <w:i/>
        <w:sz w:val="14"/>
        <w:szCs w:val="14"/>
      </w:rPr>
    </w:pPr>
    <w:r w:rsidRPr="00F46E07">
      <w:rPr>
        <w:rFonts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6060E1" w:rsidRPr="00FC14E0" w:rsidRDefault="006060E1" w:rsidP="00EC6E32">
    <w:pPr>
      <w:pStyle w:val="Piedepgina"/>
    </w:pPr>
    <w:r w:rsidRPr="00F46E07">
      <w:rPr>
        <w:rFonts w:cs="Tahoma"/>
        <w:i/>
        <w:sz w:val="14"/>
        <w:szCs w:val="14"/>
      </w:rPr>
      <w:t>La versión actualizada y controlada de este documento, se consulta a través de la página</w:t>
    </w:r>
    <w:r>
      <w:rPr>
        <w:rFonts w:cs="Tahoma"/>
        <w:i/>
        <w:sz w:val="14"/>
        <w:szCs w:val="14"/>
      </w:rPr>
      <w:t xml:space="preserve"> web en el espacio dedicado al </w:t>
    </w:r>
    <w:r w:rsidRPr="00F46E07">
      <w:rPr>
        <w:rFonts w:cs="Tahoma"/>
        <w:i/>
        <w:sz w:val="14"/>
        <w:szCs w:val="14"/>
      </w:rPr>
      <w:t xml:space="preserve"> SGC.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AE6" w:rsidRDefault="00444AE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1A9" w:rsidRDefault="00EA21A9" w:rsidP="00FC14E0">
      <w:pPr>
        <w:spacing w:after="0" w:line="240" w:lineRule="auto"/>
      </w:pPr>
      <w:r>
        <w:separator/>
      </w:r>
    </w:p>
  </w:footnote>
  <w:footnote w:type="continuationSeparator" w:id="0">
    <w:p w:rsidR="00EA21A9" w:rsidRDefault="00EA21A9" w:rsidP="00FC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AE6" w:rsidRDefault="00444AE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81"/>
      <w:gridCol w:w="3834"/>
      <w:gridCol w:w="2031"/>
      <w:gridCol w:w="1513"/>
    </w:tblGrid>
    <w:tr w:rsidR="006060E1" w:rsidRPr="00527000" w:rsidTr="00445D48">
      <w:tc>
        <w:tcPr>
          <w:tcW w:w="158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060E1" w:rsidRPr="00527000" w:rsidRDefault="006060E1" w:rsidP="001C04DA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766D4543" wp14:editId="59070224">
                <wp:extent cx="812165" cy="73025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65" cy="730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8" w:type="dxa"/>
          <w:gridSpan w:val="3"/>
          <w:vAlign w:val="center"/>
        </w:tcPr>
        <w:p w:rsidR="001D73CE" w:rsidRDefault="006060E1" w:rsidP="001C04DA">
          <w:pPr>
            <w:pStyle w:val="Encabezado"/>
            <w:jc w:val="center"/>
            <w:rPr>
              <w:rFonts w:cs="Tahoma"/>
              <w:b/>
              <w:bCs/>
              <w:szCs w:val="20"/>
            </w:rPr>
          </w:pPr>
          <w:r w:rsidRPr="00202B07">
            <w:rPr>
              <w:rFonts w:cs="Tahoma"/>
              <w:b/>
              <w:bCs/>
              <w:szCs w:val="20"/>
            </w:rPr>
            <w:t>PROCEDIMIENTO</w:t>
          </w:r>
          <w:r w:rsidR="00F328B8">
            <w:rPr>
              <w:rFonts w:cs="Tahoma"/>
              <w:b/>
              <w:bCs/>
              <w:szCs w:val="20"/>
            </w:rPr>
            <w:t xml:space="preserve"> </w:t>
          </w:r>
        </w:p>
        <w:p w:rsidR="006060E1" w:rsidRPr="00051638" w:rsidRDefault="00F328B8" w:rsidP="001D73CE">
          <w:pPr>
            <w:pStyle w:val="Encabezado"/>
            <w:jc w:val="center"/>
            <w:rPr>
              <w:rStyle w:val="Nmerodepgina"/>
              <w:rFonts w:cs="Tahoma"/>
              <w:b/>
              <w:bCs/>
              <w:szCs w:val="20"/>
            </w:rPr>
          </w:pPr>
          <w:r>
            <w:rPr>
              <w:rFonts w:cs="Tahoma"/>
              <w:b/>
              <w:bCs/>
              <w:szCs w:val="20"/>
            </w:rPr>
            <w:t xml:space="preserve">DEUDA </w:t>
          </w:r>
          <w:r w:rsidR="007A7EEA">
            <w:rPr>
              <w:rFonts w:cs="Tahoma"/>
              <w:b/>
              <w:bCs/>
              <w:szCs w:val="20"/>
            </w:rPr>
            <w:t>PÚBLICA</w:t>
          </w:r>
          <w:r>
            <w:rPr>
              <w:rFonts w:cs="Tahoma"/>
              <w:b/>
              <w:bCs/>
              <w:szCs w:val="20"/>
            </w:rPr>
            <w:t xml:space="preserve"> </w:t>
          </w:r>
        </w:p>
      </w:tc>
    </w:tr>
    <w:tr w:rsidR="006060E1" w:rsidRPr="00527000" w:rsidTr="00445D48">
      <w:trPr>
        <w:trHeight w:val="403"/>
      </w:trPr>
      <w:tc>
        <w:tcPr>
          <w:tcW w:w="1581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060E1" w:rsidRPr="00527000" w:rsidRDefault="006060E1" w:rsidP="001C04DA">
          <w:pPr>
            <w:pStyle w:val="Encabezado"/>
            <w:rPr>
              <w:rStyle w:val="Nmerodepgina"/>
              <w:rFonts w:cs="Tahoma"/>
              <w:szCs w:val="20"/>
            </w:rPr>
          </w:pPr>
        </w:p>
      </w:tc>
      <w:tc>
        <w:tcPr>
          <w:tcW w:w="3834" w:type="dxa"/>
          <w:vAlign w:val="center"/>
        </w:tcPr>
        <w:p w:rsidR="006060E1" w:rsidRPr="00527000" w:rsidRDefault="006060E1" w:rsidP="00515CB0">
          <w:pPr>
            <w:pStyle w:val="Encabezado"/>
            <w:tabs>
              <w:tab w:val="center" w:pos="-6544"/>
            </w:tabs>
            <w:jc w:val="center"/>
            <w:rPr>
              <w:rStyle w:val="Nmerodepgina"/>
              <w:rFonts w:cs="Tahoma"/>
              <w:szCs w:val="20"/>
            </w:rPr>
          </w:pPr>
          <w:r w:rsidRPr="00527000">
            <w:rPr>
              <w:rFonts w:cs="Tahoma"/>
              <w:b/>
            </w:rPr>
            <w:t xml:space="preserve">Proceso: </w:t>
          </w:r>
          <w:r>
            <w:rPr>
              <w:rFonts w:cs="Tahoma"/>
            </w:rPr>
            <w:t xml:space="preserve">CF - </w:t>
          </w:r>
          <w:r w:rsidRPr="00CD770D">
            <w:rPr>
              <w:rFonts w:cs="Tahoma"/>
            </w:rPr>
            <w:t>Control Fiscal</w:t>
          </w:r>
        </w:p>
      </w:tc>
      <w:tc>
        <w:tcPr>
          <w:tcW w:w="2031" w:type="dxa"/>
          <w:vAlign w:val="center"/>
        </w:tcPr>
        <w:p w:rsidR="00090ADA" w:rsidRPr="00AE7FDC" w:rsidRDefault="006060E1" w:rsidP="00AE7FDC">
          <w:pPr>
            <w:pStyle w:val="Encabezado"/>
            <w:tabs>
              <w:tab w:val="center" w:pos="-6544"/>
            </w:tabs>
            <w:jc w:val="center"/>
            <w:rPr>
              <w:rFonts w:cs="Tahoma"/>
              <w:b/>
            </w:rPr>
          </w:pPr>
          <w:r w:rsidRPr="00527000">
            <w:rPr>
              <w:rFonts w:cs="Tahoma"/>
              <w:b/>
            </w:rPr>
            <w:t xml:space="preserve">Código: </w:t>
          </w:r>
          <w:r w:rsidRPr="00AE7FDC">
            <w:rPr>
              <w:rFonts w:cs="Tahoma"/>
            </w:rPr>
            <w:t>PCF</w:t>
          </w:r>
          <w:r w:rsidR="00090ADA" w:rsidRPr="00AE7FDC">
            <w:rPr>
              <w:rFonts w:cs="Tahoma"/>
            </w:rPr>
            <w:t>-04</w:t>
          </w:r>
        </w:p>
      </w:tc>
      <w:tc>
        <w:tcPr>
          <w:tcW w:w="1513" w:type="dxa"/>
          <w:vAlign w:val="center"/>
        </w:tcPr>
        <w:p w:rsidR="006060E1" w:rsidRPr="00527000" w:rsidRDefault="006060E1" w:rsidP="00444AE6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 w:rsidRPr="00527000">
            <w:rPr>
              <w:rFonts w:cs="Tahoma"/>
              <w:b/>
            </w:rPr>
            <w:t>Versión:</w:t>
          </w:r>
          <w:r w:rsidRPr="00527000">
            <w:rPr>
              <w:rFonts w:cs="Tahoma"/>
            </w:rPr>
            <w:t xml:space="preserve">  </w:t>
          </w:r>
          <w:r>
            <w:rPr>
              <w:rFonts w:cs="Tahoma"/>
            </w:rPr>
            <w:t>0</w:t>
          </w:r>
          <w:r w:rsidR="00444AE6">
            <w:rPr>
              <w:rFonts w:cs="Tahoma"/>
            </w:rPr>
            <w:t>2</w:t>
          </w:r>
          <w:bookmarkStart w:id="3" w:name="_GoBack"/>
          <w:bookmarkEnd w:id="3"/>
        </w:p>
      </w:tc>
    </w:tr>
  </w:tbl>
  <w:p w:rsidR="006060E1" w:rsidRPr="00051638" w:rsidRDefault="006060E1" w:rsidP="00051638">
    <w:pPr>
      <w:pStyle w:val="Encabezado"/>
      <w:rPr>
        <w:sz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AE6" w:rsidRDefault="00444A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9B"/>
    <w:multiLevelType w:val="hybridMultilevel"/>
    <w:tmpl w:val="AF167FE4"/>
    <w:lvl w:ilvl="0" w:tplc="609E04DC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92C80"/>
    <w:multiLevelType w:val="hybridMultilevel"/>
    <w:tmpl w:val="2D0ED8AC"/>
    <w:lvl w:ilvl="0" w:tplc="F9C4711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CE49A8"/>
    <w:multiLevelType w:val="hybridMultilevel"/>
    <w:tmpl w:val="B47EC27A"/>
    <w:lvl w:ilvl="0" w:tplc="A90468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F5199"/>
    <w:multiLevelType w:val="hybridMultilevel"/>
    <w:tmpl w:val="99FC07B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5724F"/>
    <w:multiLevelType w:val="hybridMultilevel"/>
    <w:tmpl w:val="46103382"/>
    <w:lvl w:ilvl="0" w:tplc="0E92766A">
      <w:start w:val="1"/>
      <w:numFmt w:val="decimal"/>
      <w:pStyle w:val="Ttulo2"/>
      <w:lvlText w:val="%1.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17AB8"/>
    <w:multiLevelType w:val="hybridMultilevel"/>
    <w:tmpl w:val="C24C6646"/>
    <w:lvl w:ilvl="0" w:tplc="F5789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80603"/>
    <w:multiLevelType w:val="hybridMultilevel"/>
    <w:tmpl w:val="8C064CA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9D7308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2D0E2070"/>
    <w:multiLevelType w:val="hybridMultilevel"/>
    <w:tmpl w:val="FDDA2D7A"/>
    <w:lvl w:ilvl="0" w:tplc="0DC24AE8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C3A6D"/>
    <w:multiLevelType w:val="multilevel"/>
    <w:tmpl w:val="0C0A001F"/>
    <w:styleLink w:val="Estilo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92B788F"/>
    <w:multiLevelType w:val="hybridMultilevel"/>
    <w:tmpl w:val="275696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56AAE"/>
    <w:multiLevelType w:val="hybridMultilevel"/>
    <w:tmpl w:val="0548F39E"/>
    <w:lvl w:ilvl="0" w:tplc="0E9A9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683661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484959AA"/>
    <w:multiLevelType w:val="multilevel"/>
    <w:tmpl w:val="289A134C"/>
    <w:styleLink w:val="Estilo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904551C"/>
    <w:multiLevelType w:val="hybridMultilevel"/>
    <w:tmpl w:val="B1301BE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0E7615"/>
    <w:multiLevelType w:val="multilevel"/>
    <w:tmpl w:val="62D4CAC2"/>
    <w:lvl w:ilvl="0">
      <w:start w:val="1"/>
      <w:numFmt w:val="decimal"/>
      <w:pStyle w:val="Ttulo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57343F67"/>
    <w:multiLevelType w:val="hybridMultilevel"/>
    <w:tmpl w:val="E432D1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5F1B37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>
    <w:nsid w:val="57843AF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E8B57DF"/>
    <w:multiLevelType w:val="hybridMultilevel"/>
    <w:tmpl w:val="BB08BF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A2171"/>
    <w:multiLevelType w:val="hybridMultilevel"/>
    <w:tmpl w:val="4FA83F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BC0240"/>
    <w:multiLevelType w:val="multilevel"/>
    <w:tmpl w:val="09543DD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77F123F7"/>
    <w:multiLevelType w:val="multilevel"/>
    <w:tmpl w:val="62140A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>
    <w:nsid w:val="7C481E5F"/>
    <w:multiLevelType w:val="hybridMultilevel"/>
    <w:tmpl w:val="AB7AEF5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8B2623"/>
    <w:multiLevelType w:val="multilevel"/>
    <w:tmpl w:val="CABC078A"/>
    <w:lvl w:ilvl="0">
      <w:start w:val="1"/>
      <w:numFmt w:val="decimal"/>
      <w:pStyle w:val="Estilo1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num w:numId="1">
    <w:abstractNumId w:val="15"/>
  </w:num>
  <w:num w:numId="2">
    <w:abstractNumId w:val="4"/>
  </w:num>
  <w:num w:numId="3">
    <w:abstractNumId w:val="9"/>
  </w:num>
  <w:num w:numId="4">
    <w:abstractNumId w:val="21"/>
  </w:num>
  <w:num w:numId="5">
    <w:abstractNumId w:val="14"/>
  </w:num>
  <w:num w:numId="6">
    <w:abstractNumId w:val="22"/>
  </w:num>
  <w:num w:numId="7">
    <w:abstractNumId w:val="8"/>
  </w:num>
  <w:num w:numId="8">
    <w:abstractNumId w:val="24"/>
  </w:num>
  <w:num w:numId="9">
    <w:abstractNumId w:val="12"/>
  </w:num>
  <w:num w:numId="10">
    <w:abstractNumId w:val="20"/>
  </w:num>
  <w:num w:numId="11">
    <w:abstractNumId w:val="17"/>
  </w:num>
  <w:num w:numId="12">
    <w:abstractNumId w:val="16"/>
  </w:num>
  <w:num w:numId="13">
    <w:abstractNumId w:val="23"/>
  </w:num>
  <w:num w:numId="14">
    <w:abstractNumId w:val="13"/>
  </w:num>
  <w:num w:numId="15">
    <w:abstractNumId w:val="2"/>
  </w:num>
  <w:num w:numId="16">
    <w:abstractNumId w:val="0"/>
  </w:num>
  <w:num w:numId="17">
    <w:abstractNumId w:val="10"/>
  </w:num>
  <w:num w:numId="18">
    <w:abstractNumId w:val="7"/>
  </w:num>
  <w:num w:numId="19">
    <w:abstractNumId w:val="15"/>
  </w:num>
  <w:num w:numId="20">
    <w:abstractNumId w:val="15"/>
    <w:lvlOverride w:ilvl="0">
      <w:startOverride w:val="6"/>
    </w:lvlOverride>
    <w:lvlOverride w:ilvl="1">
      <w:startOverride w:val="2"/>
    </w:lvlOverride>
  </w:num>
  <w:num w:numId="21">
    <w:abstractNumId w:val="11"/>
  </w:num>
  <w:num w:numId="22">
    <w:abstractNumId w:val="5"/>
  </w:num>
  <w:num w:numId="23">
    <w:abstractNumId w:val="1"/>
  </w:num>
  <w:num w:numId="24">
    <w:abstractNumId w:val="3"/>
  </w:num>
  <w:num w:numId="25">
    <w:abstractNumId w:val="18"/>
  </w:num>
  <w:num w:numId="26">
    <w:abstractNumId w:val="15"/>
  </w:num>
  <w:num w:numId="27">
    <w:abstractNumId w:val="15"/>
  </w:num>
  <w:num w:numId="28">
    <w:abstractNumId w:val="15"/>
  </w:num>
  <w:num w:numId="29">
    <w:abstractNumId w:val="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E0"/>
    <w:rsid w:val="0003322A"/>
    <w:rsid w:val="00051638"/>
    <w:rsid w:val="00051982"/>
    <w:rsid w:val="00083EA4"/>
    <w:rsid w:val="00090ADA"/>
    <w:rsid w:val="00092945"/>
    <w:rsid w:val="000A16E5"/>
    <w:rsid w:val="000B4E65"/>
    <w:rsid w:val="000C01DA"/>
    <w:rsid w:val="000F319A"/>
    <w:rsid w:val="0011113B"/>
    <w:rsid w:val="0011122B"/>
    <w:rsid w:val="001231FC"/>
    <w:rsid w:val="00126FA6"/>
    <w:rsid w:val="00133FA8"/>
    <w:rsid w:val="00144DBF"/>
    <w:rsid w:val="00182EAC"/>
    <w:rsid w:val="00195C62"/>
    <w:rsid w:val="001A13D6"/>
    <w:rsid w:val="001A2A0D"/>
    <w:rsid w:val="001B01C8"/>
    <w:rsid w:val="001C04DA"/>
    <w:rsid w:val="001C054C"/>
    <w:rsid w:val="001D73CE"/>
    <w:rsid w:val="00202B07"/>
    <w:rsid w:val="0021663E"/>
    <w:rsid w:val="00237F1B"/>
    <w:rsid w:val="002408B7"/>
    <w:rsid w:val="0026487D"/>
    <w:rsid w:val="00264EFF"/>
    <w:rsid w:val="0028154C"/>
    <w:rsid w:val="0028789A"/>
    <w:rsid w:val="0029721A"/>
    <w:rsid w:val="002A2B0D"/>
    <w:rsid w:val="002D763F"/>
    <w:rsid w:val="002E4EC4"/>
    <w:rsid w:val="002F1C72"/>
    <w:rsid w:val="00305692"/>
    <w:rsid w:val="003270A5"/>
    <w:rsid w:val="00331B5C"/>
    <w:rsid w:val="003475BA"/>
    <w:rsid w:val="00351CF4"/>
    <w:rsid w:val="003544A7"/>
    <w:rsid w:val="00386AC8"/>
    <w:rsid w:val="00390DD2"/>
    <w:rsid w:val="003C398E"/>
    <w:rsid w:val="003D4E36"/>
    <w:rsid w:val="003F0E90"/>
    <w:rsid w:val="003F4A1E"/>
    <w:rsid w:val="00410F6B"/>
    <w:rsid w:val="00414C7E"/>
    <w:rsid w:val="00443034"/>
    <w:rsid w:val="00444AE6"/>
    <w:rsid w:val="00445D48"/>
    <w:rsid w:val="004477E4"/>
    <w:rsid w:val="00472830"/>
    <w:rsid w:val="004820AC"/>
    <w:rsid w:val="00496977"/>
    <w:rsid w:val="004B3D57"/>
    <w:rsid w:val="004D12EB"/>
    <w:rsid w:val="004E1052"/>
    <w:rsid w:val="004E1423"/>
    <w:rsid w:val="004E2102"/>
    <w:rsid w:val="004F4510"/>
    <w:rsid w:val="00510058"/>
    <w:rsid w:val="00515CB0"/>
    <w:rsid w:val="005219A3"/>
    <w:rsid w:val="00524BB7"/>
    <w:rsid w:val="005273B4"/>
    <w:rsid w:val="00535BB2"/>
    <w:rsid w:val="00535CF4"/>
    <w:rsid w:val="00535F11"/>
    <w:rsid w:val="0055208A"/>
    <w:rsid w:val="0055311A"/>
    <w:rsid w:val="005605C3"/>
    <w:rsid w:val="00567950"/>
    <w:rsid w:val="00583052"/>
    <w:rsid w:val="00592824"/>
    <w:rsid w:val="005936D2"/>
    <w:rsid w:val="005A1227"/>
    <w:rsid w:val="005A7925"/>
    <w:rsid w:val="005C362A"/>
    <w:rsid w:val="005F6926"/>
    <w:rsid w:val="00601D79"/>
    <w:rsid w:val="006060E1"/>
    <w:rsid w:val="00616A84"/>
    <w:rsid w:val="00627139"/>
    <w:rsid w:val="00627582"/>
    <w:rsid w:val="00627BEA"/>
    <w:rsid w:val="0063081C"/>
    <w:rsid w:val="006316A1"/>
    <w:rsid w:val="00633CE9"/>
    <w:rsid w:val="00641BA6"/>
    <w:rsid w:val="00646D8E"/>
    <w:rsid w:val="00681744"/>
    <w:rsid w:val="00695D52"/>
    <w:rsid w:val="006E2E3F"/>
    <w:rsid w:val="006F4DCC"/>
    <w:rsid w:val="006F5864"/>
    <w:rsid w:val="006F7241"/>
    <w:rsid w:val="00702988"/>
    <w:rsid w:val="007406BC"/>
    <w:rsid w:val="00756A9E"/>
    <w:rsid w:val="0076690B"/>
    <w:rsid w:val="00772B7B"/>
    <w:rsid w:val="007814DA"/>
    <w:rsid w:val="007A6A4B"/>
    <w:rsid w:val="007A7EEA"/>
    <w:rsid w:val="007C1942"/>
    <w:rsid w:val="007C436A"/>
    <w:rsid w:val="007D025B"/>
    <w:rsid w:val="007E3ADB"/>
    <w:rsid w:val="007E5005"/>
    <w:rsid w:val="007E67D4"/>
    <w:rsid w:val="007F5B24"/>
    <w:rsid w:val="007F6867"/>
    <w:rsid w:val="00805655"/>
    <w:rsid w:val="00805F79"/>
    <w:rsid w:val="00826A45"/>
    <w:rsid w:val="00843894"/>
    <w:rsid w:val="00847AB3"/>
    <w:rsid w:val="00866EDC"/>
    <w:rsid w:val="008B15EF"/>
    <w:rsid w:val="008C0DFD"/>
    <w:rsid w:val="008D488D"/>
    <w:rsid w:val="008D5077"/>
    <w:rsid w:val="00900297"/>
    <w:rsid w:val="009053D5"/>
    <w:rsid w:val="00987279"/>
    <w:rsid w:val="009A3317"/>
    <w:rsid w:val="009A3C57"/>
    <w:rsid w:val="009C027E"/>
    <w:rsid w:val="009C3468"/>
    <w:rsid w:val="009D2213"/>
    <w:rsid w:val="009D66E2"/>
    <w:rsid w:val="009E0D33"/>
    <w:rsid w:val="009E3430"/>
    <w:rsid w:val="009F7B8C"/>
    <w:rsid w:val="009F7D5E"/>
    <w:rsid w:val="00A04EB2"/>
    <w:rsid w:val="00A229DD"/>
    <w:rsid w:val="00A4738D"/>
    <w:rsid w:val="00A57819"/>
    <w:rsid w:val="00A6368A"/>
    <w:rsid w:val="00A70EA2"/>
    <w:rsid w:val="00A87FD4"/>
    <w:rsid w:val="00AB2E49"/>
    <w:rsid w:val="00AD3E07"/>
    <w:rsid w:val="00AD3E9C"/>
    <w:rsid w:val="00AE7FDC"/>
    <w:rsid w:val="00B04FED"/>
    <w:rsid w:val="00B15D27"/>
    <w:rsid w:val="00B17612"/>
    <w:rsid w:val="00B71225"/>
    <w:rsid w:val="00B92FFF"/>
    <w:rsid w:val="00BB3C4F"/>
    <w:rsid w:val="00BB7158"/>
    <w:rsid w:val="00BC518D"/>
    <w:rsid w:val="00BE05B9"/>
    <w:rsid w:val="00BE2E1B"/>
    <w:rsid w:val="00C055BA"/>
    <w:rsid w:val="00C360E0"/>
    <w:rsid w:val="00C4720D"/>
    <w:rsid w:val="00C64D17"/>
    <w:rsid w:val="00C6628A"/>
    <w:rsid w:val="00C73C90"/>
    <w:rsid w:val="00C806B1"/>
    <w:rsid w:val="00C82ED1"/>
    <w:rsid w:val="00CA64A2"/>
    <w:rsid w:val="00CB72D6"/>
    <w:rsid w:val="00CC2220"/>
    <w:rsid w:val="00CD770D"/>
    <w:rsid w:val="00CF443C"/>
    <w:rsid w:val="00D27439"/>
    <w:rsid w:val="00D50603"/>
    <w:rsid w:val="00D70D6A"/>
    <w:rsid w:val="00D73FD8"/>
    <w:rsid w:val="00D86603"/>
    <w:rsid w:val="00DA2C7B"/>
    <w:rsid w:val="00DC26C0"/>
    <w:rsid w:val="00DC5E2C"/>
    <w:rsid w:val="00DD4F1E"/>
    <w:rsid w:val="00DE2B4F"/>
    <w:rsid w:val="00DE654A"/>
    <w:rsid w:val="00E05E97"/>
    <w:rsid w:val="00E274ED"/>
    <w:rsid w:val="00E3221B"/>
    <w:rsid w:val="00E3403A"/>
    <w:rsid w:val="00E53F99"/>
    <w:rsid w:val="00E64480"/>
    <w:rsid w:val="00E64DED"/>
    <w:rsid w:val="00E8407D"/>
    <w:rsid w:val="00EA21A9"/>
    <w:rsid w:val="00EB75E9"/>
    <w:rsid w:val="00EC6E32"/>
    <w:rsid w:val="00EE16EC"/>
    <w:rsid w:val="00EF73EA"/>
    <w:rsid w:val="00F05B98"/>
    <w:rsid w:val="00F26286"/>
    <w:rsid w:val="00F328B8"/>
    <w:rsid w:val="00F5190B"/>
    <w:rsid w:val="00F72585"/>
    <w:rsid w:val="00F931B4"/>
    <w:rsid w:val="00FA7D29"/>
    <w:rsid w:val="00FC016F"/>
    <w:rsid w:val="00FC14E0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BB7"/>
    <w:pPr>
      <w:jc w:val="both"/>
    </w:pPr>
    <w:rPr>
      <w:rFonts w:ascii="Tahoma" w:hAnsi="Tahoma"/>
      <w:sz w:val="20"/>
    </w:rPr>
  </w:style>
  <w:style w:type="paragraph" w:styleId="Ttulo1">
    <w:name w:val="heading 1"/>
    <w:basedOn w:val="Normal"/>
    <w:next w:val="Normal"/>
    <w:link w:val="Ttulo1Car"/>
    <w:qFormat/>
    <w:rsid w:val="00FC14E0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14E0"/>
    <w:pPr>
      <w:keepNext/>
      <w:keepLines/>
      <w:numPr>
        <w:numId w:val="2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C14E0"/>
    <w:rPr>
      <w:rFonts w:ascii="Tahoma" w:eastAsiaTheme="majorEastAsia" w:hAnsi="Tahoma" w:cstheme="majorBidi"/>
      <w:b/>
      <w:bCs/>
      <w:sz w:val="20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14E0"/>
    <w:rPr>
      <w:rFonts w:ascii="Tahoma" w:eastAsiaTheme="majorEastAsia" w:hAnsi="Tahoma" w:cstheme="majorBidi"/>
      <w:b/>
      <w:bCs/>
      <w:sz w:val="20"/>
      <w:szCs w:val="26"/>
    </w:rPr>
  </w:style>
  <w:style w:type="paragraph" w:styleId="Encabezado">
    <w:name w:val="header"/>
    <w:basedOn w:val="Normal"/>
    <w:link w:val="EncabezadoCar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C14E0"/>
    <w:rPr>
      <w:rFonts w:ascii="Tahoma" w:hAnsi="Tahoma"/>
      <w:sz w:val="20"/>
    </w:rPr>
  </w:style>
  <w:style w:type="paragraph" w:styleId="Piedepgina">
    <w:name w:val="footer"/>
    <w:basedOn w:val="Normal"/>
    <w:link w:val="PiedepginaCar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FC14E0"/>
    <w:rPr>
      <w:rFonts w:ascii="Tahoma" w:hAnsi="Tahoma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14E0"/>
    <w:pPr>
      <w:spacing w:after="0" w:line="240" w:lineRule="auto"/>
    </w:pPr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4E0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FC14E0"/>
  </w:style>
  <w:style w:type="paragraph" w:styleId="Textocomentario">
    <w:name w:val="annotation text"/>
    <w:basedOn w:val="Normal"/>
    <w:link w:val="TextocomentarioCar"/>
    <w:semiHidden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FC14E0"/>
    <w:rPr>
      <w:bCs/>
    </w:rPr>
  </w:style>
  <w:style w:type="numbering" w:customStyle="1" w:styleId="Estilo3">
    <w:name w:val="Estilo3"/>
    <w:rsid w:val="00FC14E0"/>
    <w:pPr>
      <w:numPr>
        <w:numId w:val="3"/>
      </w:numPr>
    </w:pPr>
  </w:style>
  <w:style w:type="paragraph" w:styleId="Prrafodelista">
    <w:name w:val="List Paragraph"/>
    <w:basedOn w:val="Normal"/>
    <w:uiPriority w:val="34"/>
    <w:qFormat/>
    <w:rsid w:val="00FC14E0"/>
    <w:pPr>
      <w:spacing w:after="0" w:line="240" w:lineRule="auto"/>
      <w:ind w:left="708"/>
    </w:pPr>
    <w:rPr>
      <w:rFonts w:eastAsia="Times New Roman" w:cs="Times New Roman"/>
      <w:szCs w:val="24"/>
      <w:lang w:val="es-ES" w:eastAsia="es-ES"/>
    </w:rPr>
  </w:style>
  <w:style w:type="paragraph" w:customStyle="1" w:styleId="Estilo2">
    <w:name w:val="Estilo2"/>
    <w:basedOn w:val="Normal"/>
    <w:autoRedefine/>
    <w:qFormat/>
    <w:rsid w:val="00FC14E0"/>
    <w:pPr>
      <w:numPr>
        <w:ilvl w:val="1"/>
        <w:numId w:val="6"/>
      </w:numPr>
      <w:spacing w:before="120" w:after="0" w:line="240" w:lineRule="auto"/>
    </w:pPr>
    <w:rPr>
      <w:rFonts w:eastAsia="Times New Roman" w:cs="Times New Roman"/>
      <w:b/>
      <w:szCs w:val="24"/>
      <w:lang w:val="es-ES" w:eastAsia="es-ES"/>
    </w:rPr>
  </w:style>
  <w:style w:type="paragraph" w:customStyle="1" w:styleId="Estilo1">
    <w:name w:val="Estilo1"/>
    <w:basedOn w:val="TDC9"/>
    <w:qFormat/>
    <w:rsid w:val="00FC14E0"/>
    <w:pPr>
      <w:numPr>
        <w:numId w:val="8"/>
      </w:numPr>
      <w:tabs>
        <w:tab w:val="num" w:pos="360"/>
      </w:tabs>
      <w:autoSpaceDE w:val="0"/>
      <w:autoSpaceDN w:val="0"/>
      <w:adjustRightInd w:val="0"/>
      <w:spacing w:before="120" w:after="120" w:line="240" w:lineRule="auto"/>
      <w:ind w:left="1600" w:firstLine="0"/>
    </w:pPr>
    <w:rPr>
      <w:rFonts w:eastAsia="Times New Roman" w:cs="Tahoma"/>
      <w:b/>
      <w:sz w:val="22"/>
      <w:lang w:val="es-ES" w:eastAsia="es-ES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FC14E0"/>
    <w:pPr>
      <w:spacing w:after="100"/>
      <w:ind w:left="1600"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14E0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FC14E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C14E0"/>
    <w:pPr>
      <w:spacing w:after="100"/>
      <w:ind w:left="200"/>
    </w:pPr>
  </w:style>
  <w:style w:type="character" w:styleId="Hipervnculo">
    <w:name w:val="Hyperlink"/>
    <w:basedOn w:val="Fuentedeprrafopredeter"/>
    <w:uiPriority w:val="99"/>
    <w:unhideWhenUsed/>
    <w:rsid w:val="00FC14E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FC1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3">
    <w:name w:val="Titulo 3"/>
    <w:basedOn w:val="Normal"/>
    <w:link w:val="Titulo3Car"/>
    <w:qFormat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itulo3Car">
    <w:name w:val="Titulo 3 Car"/>
    <w:basedOn w:val="Fuentedeprrafopredeter"/>
    <w:link w:val="Titulo3"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numbering" w:customStyle="1" w:styleId="Estilo8">
    <w:name w:val="Estilo8"/>
    <w:rsid w:val="00CF443C"/>
    <w:pPr>
      <w:numPr>
        <w:numId w:val="14"/>
      </w:numPr>
    </w:pPr>
  </w:style>
  <w:style w:type="character" w:styleId="Hipervnculovisitado">
    <w:name w:val="FollowedHyperlink"/>
    <w:basedOn w:val="Fuentedeprrafopredeter"/>
    <w:uiPriority w:val="99"/>
    <w:semiHidden/>
    <w:unhideWhenUsed/>
    <w:rsid w:val="006308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BB7"/>
    <w:pPr>
      <w:jc w:val="both"/>
    </w:pPr>
    <w:rPr>
      <w:rFonts w:ascii="Tahoma" w:hAnsi="Tahoma"/>
      <w:sz w:val="20"/>
    </w:rPr>
  </w:style>
  <w:style w:type="paragraph" w:styleId="Ttulo1">
    <w:name w:val="heading 1"/>
    <w:basedOn w:val="Normal"/>
    <w:next w:val="Normal"/>
    <w:link w:val="Ttulo1Car"/>
    <w:qFormat/>
    <w:rsid w:val="00FC14E0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14E0"/>
    <w:pPr>
      <w:keepNext/>
      <w:keepLines/>
      <w:numPr>
        <w:numId w:val="2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C14E0"/>
    <w:rPr>
      <w:rFonts w:ascii="Tahoma" w:eastAsiaTheme="majorEastAsia" w:hAnsi="Tahoma" w:cstheme="majorBidi"/>
      <w:b/>
      <w:bCs/>
      <w:sz w:val="20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14E0"/>
    <w:rPr>
      <w:rFonts w:ascii="Tahoma" w:eastAsiaTheme="majorEastAsia" w:hAnsi="Tahoma" w:cstheme="majorBidi"/>
      <w:b/>
      <w:bCs/>
      <w:sz w:val="20"/>
      <w:szCs w:val="26"/>
    </w:rPr>
  </w:style>
  <w:style w:type="paragraph" w:styleId="Encabezado">
    <w:name w:val="header"/>
    <w:basedOn w:val="Normal"/>
    <w:link w:val="EncabezadoCar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FC14E0"/>
    <w:rPr>
      <w:rFonts w:ascii="Tahoma" w:hAnsi="Tahoma"/>
      <w:sz w:val="20"/>
    </w:rPr>
  </w:style>
  <w:style w:type="paragraph" w:styleId="Piedepgina">
    <w:name w:val="footer"/>
    <w:basedOn w:val="Normal"/>
    <w:link w:val="PiedepginaCar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FC14E0"/>
    <w:rPr>
      <w:rFonts w:ascii="Tahoma" w:hAnsi="Tahoma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14E0"/>
    <w:pPr>
      <w:spacing w:after="0" w:line="240" w:lineRule="auto"/>
    </w:pPr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4E0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FC14E0"/>
  </w:style>
  <w:style w:type="paragraph" w:styleId="Textocomentario">
    <w:name w:val="annotation text"/>
    <w:basedOn w:val="Normal"/>
    <w:link w:val="TextocomentarioCar"/>
    <w:semiHidden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FC14E0"/>
    <w:rPr>
      <w:bCs/>
    </w:rPr>
  </w:style>
  <w:style w:type="numbering" w:customStyle="1" w:styleId="Estilo3">
    <w:name w:val="Estilo3"/>
    <w:rsid w:val="00FC14E0"/>
    <w:pPr>
      <w:numPr>
        <w:numId w:val="3"/>
      </w:numPr>
    </w:pPr>
  </w:style>
  <w:style w:type="paragraph" w:styleId="Prrafodelista">
    <w:name w:val="List Paragraph"/>
    <w:basedOn w:val="Normal"/>
    <w:uiPriority w:val="34"/>
    <w:qFormat/>
    <w:rsid w:val="00FC14E0"/>
    <w:pPr>
      <w:spacing w:after="0" w:line="240" w:lineRule="auto"/>
      <w:ind w:left="708"/>
    </w:pPr>
    <w:rPr>
      <w:rFonts w:eastAsia="Times New Roman" w:cs="Times New Roman"/>
      <w:szCs w:val="24"/>
      <w:lang w:val="es-ES" w:eastAsia="es-ES"/>
    </w:rPr>
  </w:style>
  <w:style w:type="paragraph" w:customStyle="1" w:styleId="Estilo2">
    <w:name w:val="Estilo2"/>
    <w:basedOn w:val="Normal"/>
    <w:autoRedefine/>
    <w:qFormat/>
    <w:rsid w:val="00FC14E0"/>
    <w:pPr>
      <w:numPr>
        <w:ilvl w:val="1"/>
        <w:numId w:val="6"/>
      </w:numPr>
      <w:spacing w:before="120" w:after="0" w:line="240" w:lineRule="auto"/>
    </w:pPr>
    <w:rPr>
      <w:rFonts w:eastAsia="Times New Roman" w:cs="Times New Roman"/>
      <w:b/>
      <w:szCs w:val="24"/>
      <w:lang w:val="es-ES" w:eastAsia="es-ES"/>
    </w:rPr>
  </w:style>
  <w:style w:type="paragraph" w:customStyle="1" w:styleId="Estilo1">
    <w:name w:val="Estilo1"/>
    <w:basedOn w:val="TDC9"/>
    <w:qFormat/>
    <w:rsid w:val="00FC14E0"/>
    <w:pPr>
      <w:numPr>
        <w:numId w:val="8"/>
      </w:numPr>
      <w:tabs>
        <w:tab w:val="num" w:pos="360"/>
      </w:tabs>
      <w:autoSpaceDE w:val="0"/>
      <w:autoSpaceDN w:val="0"/>
      <w:adjustRightInd w:val="0"/>
      <w:spacing w:before="120" w:after="120" w:line="240" w:lineRule="auto"/>
      <w:ind w:left="1600" w:firstLine="0"/>
    </w:pPr>
    <w:rPr>
      <w:rFonts w:eastAsia="Times New Roman" w:cs="Tahoma"/>
      <w:b/>
      <w:sz w:val="22"/>
      <w:lang w:val="es-ES" w:eastAsia="es-ES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FC14E0"/>
    <w:pPr>
      <w:spacing w:after="100"/>
      <w:ind w:left="1600"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14E0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FC14E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C14E0"/>
    <w:pPr>
      <w:spacing w:after="100"/>
      <w:ind w:left="200"/>
    </w:pPr>
  </w:style>
  <w:style w:type="character" w:styleId="Hipervnculo">
    <w:name w:val="Hyperlink"/>
    <w:basedOn w:val="Fuentedeprrafopredeter"/>
    <w:uiPriority w:val="99"/>
    <w:unhideWhenUsed/>
    <w:rsid w:val="00FC14E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FC1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3">
    <w:name w:val="Titulo 3"/>
    <w:basedOn w:val="Normal"/>
    <w:link w:val="Titulo3Car"/>
    <w:qFormat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itulo3Car">
    <w:name w:val="Titulo 3 Car"/>
    <w:basedOn w:val="Fuentedeprrafopredeter"/>
    <w:link w:val="Titulo3"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numbering" w:customStyle="1" w:styleId="Estilo8">
    <w:name w:val="Estilo8"/>
    <w:rsid w:val="00CF443C"/>
    <w:pPr>
      <w:numPr>
        <w:numId w:val="14"/>
      </w:numPr>
    </w:pPr>
  </w:style>
  <w:style w:type="character" w:styleId="Hipervnculovisitado">
    <w:name w:val="FollowedHyperlink"/>
    <w:basedOn w:val="Fuentedeprrafopredeter"/>
    <w:uiPriority w:val="99"/>
    <w:semiHidden/>
    <w:unhideWhenUsed/>
    <w:rsid w:val="006308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eudapublica@contraloriatolima.gov.c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eudapublica@contraloriatolima.gov.co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8FE83-F32F-4666-BECC-C985A1E4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830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controlinterno</dc:creator>
  <cp:lastModifiedBy>sandris</cp:lastModifiedBy>
  <cp:revision>2</cp:revision>
  <cp:lastPrinted>2014-12-03T15:20:00Z</cp:lastPrinted>
  <dcterms:created xsi:type="dcterms:W3CDTF">2015-01-14T23:23:00Z</dcterms:created>
  <dcterms:modified xsi:type="dcterms:W3CDTF">2015-01-14T23:23:00Z</dcterms:modified>
</cp:coreProperties>
</file>